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46E3F" w14:textId="5A1D5527" w:rsidR="00D761FB" w:rsidRPr="00A83D94" w:rsidRDefault="00546C8D">
      <w:pPr>
        <w:pStyle w:val="Heading1a"/>
        <w:keepNext w:val="0"/>
        <w:keepLines w:val="0"/>
        <w:tabs>
          <w:tab w:val="clear" w:pos="-720"/>
        </w:tabs>
        <w:suppressAutoHyphens w:val="0"/>
        <w:jc w:val="left"/>
        <w:rPr>
          <w:rFonts w:asciiTheme="minorHAnsi" w:hAnsiTheme="minorHAnsi" w:cstheme="minorHAnsi"/>
          <w:smallCaps w:val="0"/>
          <w:sz w:val="28"/>
          <w:u w:val="single"/>
          <w:lang w:val="en-US"/>
        </w:rPr>
      </w:pPr>
      <w:r>
        <w:rPr>
          <w:noProof/>
        </w:rPr>
        <w:drawing>
          <wp:inline distT="0" distB="0" distL="0" distR="0" wp14:anchorId="24176DB2" wp14:editId="427E340D">
            <wp:extent cx="1952625" cy="495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1952625" cy="495300"/>
                    </a:xfrm>
                    <a:prstGeom prst="rect">
                      <a:avLst/>
                    </a:prstGeom>
                  </pic:spPr>
                </pic:pic>
              </a:graphicData>
            </a:graphic>
          </wp:inline>
        </w:drawing>
      </w:r>
      <w:r w:rsidRPr="427E340D">
        <w:rPr>
          <w:rFonts w:asciiTheme="minorHAnsi" w:hAnsiTheme="minorHAnsi"/>
          <w:lang w:val="en-US"/>
        </w:rPr>
        <w:t xml:space="preserve">                </w:t>
      </w:r>
    </w:p>
    <w:p w14:paraId="7BC714B6" w14:textId="6742C6EF" w:rsidR="00D761FB" w:rsidRPr="00A438EB" w:rsidRDefault="00546C8D" w:rsidP="08202347">
      <w:pPr>
        <w:pStyle w:val="Heading1a"/>
        <w:keepNext w:val="0"/>
        <w:keepLines w:val="0"/>
        <w:tabs>
          <w:tab w:val="clear" w:pos="-720"/>
        </w:tabs>
        <w:suppressAutoHyphens w:val="0"/>
        <w:rPr>
          <w:rFonts w:asciiTheme="minorHAnsi" w:eastAsiaTheme="minorEastAsia" w:hAnsiTheme="minorHAnsi" w:cstheme="minorBidi"/>
          <w:sz w:val="28"/>
          <w:szCs w:val="28"/>
          <w:u w:val="single"/>
          <w:lang w:val="en-US"/>
        </w:rPr>
      </w:pPr>
      <w:r w:rsidRPr="00A438EB">
        <w:rPr>
          <w:rFonts w:asciiTheme="minorHAnsi" w:eastAsiaTheme="minorEastAsia" w:hAnsiTheme="minorHAnsi" w:cstheme="minorBidi"/>
          <w:smallCaps w:val="0"/>
          <w:sz w:val="28"/>
          <w:szCs w:val="28"/>
          <w:u w:val="single"/>
          <w:lang w:val="en-US"/>
        </w:rPr>
        <w:t xml:space="preserve">SOLICITUD DE </w:t>
      </w:r>
      <w:r w:rsidR="00E82ED1" w:rsidRPr="00A438EB">
        <w:rPr>
          <w:rFonts w:asciiTheme="minorHAnsi" w:eastAsiaTheme="minorEastAsia" w:hAnsiTheme="minorHAnsi" w:cstheme="minorBidi"/>
          <w:smallCaps w:val="0"/>
          <w:sz w:val="28"/>
          <w:szCs w:val="28"/>
          <w:u w:val="single"/>
          <w:lang w:val="en-US"/>
        </w:rPr>
        <w:t xml:space="preserve">EXPRESIONES </w:t>
      </w:r>
      <w:r w:rsidRPr="00A438EB">
        <w:rPr>
          <w:rFonts w:asciiTheme="minorHAnsi" w:eastAsiaTheme="minorEastAsia" w:hAnsiTheme="minorHAnsi" w:cstheme="minorBidi"/>
          <w:smallCaps w:val="0"/>
          <w:sz w:val="28"/>
          <w:szCs w:val="28"/>
          <w:u w:val="single"/>
          <w:lang w:val="en-US"/>
        </w:rPr>
        <w:t>DE INTERÉS</w:t>
      </w:r>
    </w:p>
    <w:p w14:paraId="32A39256" w14:textId="77777777" w:rsidR="00D761FB" w:rsidRDefault="00546C8D" w:rsidP="08202347">
      <w:pPr>
        <w:pStyle w:val="Heading1a"/>
        <w:keepNext w:val="0"/>
        <w:keepLines w:val="0"/>
        <w:tabs>
          <w:tab w:val="clear" w:pos="-720"/>
        </w:tabs>
        <w:suppressAutoHyphens w:val="0"/>
        <w:rPr>
          <w:rFonts w:asciiTheme="minorHAnsi" w:eastAsiaTheme="minorEastAsia" w:hAnsiTheme="minorHAnsi" w:cstheme="minorBidi"/>
          <w:sz w:val="28"/>
          <w:szCs w:val="28"/>
          <w:u w:val="single"/>
        </w:rPr>
      </w:pPr>
      <w:r w:rsidRPr="08202347">
        <w:rPr>
          <w:rFonts w:asciiTheme="minorHAnsi" w:eastAsiaTheme="minorEastAsia" w:hAnsiTheme="minorHAnsi" w:cstheme="minorBidi"/>
          <w:smallCaps w:val="0"/>
          <w:sz w:val="28"/>
          <w:szCs w:val="28"/>
          <w:u w:val="single"/>
        </w:rPr>
        <w:t>SERVICIOS DE CONSULTORÍA</w:t>
      </w:r>
    </w:p>
    <w:p w14:paraId="2E615853" w14:textId="77777777" w:rsidR="00D761FB" w:rsidRDefault="00D761FB">
      <w:pPr>
        <w:jc w:val="both"/>
        <w:rPr>
          <w:rFonts w:asciiTheme="minorHAnsi" w:hAnsiTheme="minorHAnsi" w:cs="Times New Roman"/>
          <w:color w:val="auto"/>
        </w:rPr>
      </w:pPr>
    </w:p>
    <w:p w14:paraId="628BF229" w14:textId="52465332" w:rsidR="00D761FB" w:rsidRDefault="08202347" w:rsidP="08202347">
      <w:pPr>
        <w:suppressAutoHyphens/>
        <w:rPr>
          <w:rFonts w:asciiTheme="minorHAnsi" w:hAnsiTheme="minorHAnsi" w:cstheme="minorBidi"/>
          <w:color w:val="0070C0"/>
        </w:rPr>
      </w:pPr>
      <w:r w:rsidRPr="08202347">
        <w:rPr>
          <w:rFonts w:asciiTheme="minorHAnsi" w:hAnsiTheme="minorHAnsi" w:cstheme="minorBidi"/>
          <w:color w:val="0070C0"/>
        </w:rPr>
        <w:t xml:space="preserve">Selección #: </w:t>
      </w:r>
      <w:r w:rsidR="00A01BC8">
        <w:rPr>
          <w:rFonts w:asciiTheme="minorHAnsi" w:hAnsiTheme="minorHAnsi" w:cstheme="minorBidi"/>
          <w:color w:val="0070C0"/>
        </w:rPr>
        <w:t>AR-T1275-P002</w:t>
      </w:r>
    </w:p>
    <w:p w14:paraId="2FE659F0" w14:textId="0849B510" w:rsidR="00D761FB" w:rsidRDefault="08202347">
      <w:r w:rsidRPr="08202347">
        <w:rPr>
          <w:rFonts w:asciiTheme="minorHAnsi" w:hAnsiTheme="minorHAnsi" w:cstheme="minorBidi"/>
          <w:color w:val="0070C0"/>
        </w:rPr>
        <w:t>Método de selección:</w:t>
      </w:r>
      <w:r w:rsidR="00A01BC8">
        <w:rPr>
          <w:rFonts w:asciiTheme="minorHAnsi" w:hAnsiTheme="minorHAnsi" w:cstheme="minorBidi"/>
          <w:color w:val="0070C0"/>
        </w:rPr>
        <w:t xml:space="preserve"> Competitivo simplificado</w:t>
      </w:r>
    </w:p>
    <w:p w14:paraId="4356DB27" w14:textId="0CC2802D" w:rsidR="00D761FB" w:rsidRDefault="08202347" w:rsidP="08202347">
      <w:pPr>
        <w:suppressAutoHyphens/>
        <w:rPr>
          <w:rFonts w:asciiTheme="minorHAnsi" w:hAnsiTheme="minorHAnsi" w:cstheme="minorBidi"/>
          <w:i/>
          <w:iCs/>
          <w:color w:val="0070C0"/>
        </w:rPr>
      </w:pPr>
      <w:r w:rsidRPr="08202347">
        <w:rPr>
          <w:rFonts w:asciiTheme="minorHAnsi" w:hAnsiTheme="minorHAnsi" w:cstheme="minorBidi"/>
          <w:color w:val="0070C0"/>
        </w:rPr>
        <w:t>País:</w:t>
      </w:r>
      <w:r w:rsidR="00A01BC8">
        <w:rPr>
          <w:rFonts w:asciiTheme="minorHAnsi" w:hAnsiTheme="minorHAnsi" w:cstheme="minorBidi"/>
          <w:color w:val="0070C0"/>
        </w:rPr>
        <w:t xml:space="preserve"> Argentina</w:t>
      </w:r>
    </w:p>
    <w:p w14:paraId="4C834057" w14:textId="1E05C184" w:rsidR="00D761FB" w:rsidRDefault="08202347" w:rsidP="08202347">
      <w:pPr>
        <w:suppressAutoHyphens/>
        <w:rPr>
          <w:rFonts w:asciiTheme="minorHAnsi" w:hAnsiTheme="minorHAnsi" w:cstheme="minorBidi"/>
          <w:i/>
          <w:iCs/>
          <w:color w:val="0070C0"/>
        </w:rPr>
      </w:pPr>
      <w:r w:rsidRPr="08202347">
        <w:rPr>
          <w:rFonts w:asciiTheme="minorHAnsi" w:hAnsiTheme="minorHAnsi" w:cstheme="minorBidi"/>
          <w:i/>
          <w:iCs/>
          <w:color w:val="0070C0"/>
        </w:rPr>
        <w:t>Sector:</w:t>
      </w:r>
      <w:r w:rsidR="00A01BC8">
        <w:rPr>
          <w:rFonts w:asciiTheme="minorHAnsi" w:hAnsiTheme="minorHAnsi" w:cstheme="minorBidi"/>
          <w:i/>
          <w:iCs/>
          <w:color w:val="0070C0"/>
        </w:rPr>
        <w:t xml:space="preserve"> Agricultura y Desarrollo Rural</w:t>
      </w:r>
    </w:p>
    <w:p w14:paraId="420580C3" w14:textId="31F3DD37" w:rsidR="00D761FB" w:rsidRDefault="08202347" w:rsidP="08202347">
      <w:pPr>
        <w:suppressAutoHyphens/>
        <w:rPr>
          <w:rFonts w:asciiTheme="minorHAnsi" w:hAnsiTheme="minorHAnsi" w:cstheme="minorBidi"/>
          <w:i/>
          <w:iCs/>
          <w:color w:val="0070C0"/>
        </w:rPr>
      </w:pPr>
      <w:r w:rsidRPr="08202347">
        <w:rPr>
          <w:rFonts w:asciiTheme="minorHAnsi" w:hAnsiTheme="minorHAnsi" w:cstheme="minorBidi"/>
          <w:i/>
          <w:iCs/>
          <w:color w:val="0070C0"/>
        </w:rPr>
        <w:t>Financiación - TC #:</w:t>
      </w:r>
      <w:r w:rsidR="00CC2EF7">
        <w:rPr>
          <w:rFonts w:asciiTheme="minorHAnsi" w:hAnsiTheme="minorHAnsi" w:cstheme="minorBidi"/>
          <w:i/>
          <w:iCs/>
          <w:color w:val="0070C0"/>
        </w:rPr>
        <w:t xml:space="preserve"> </w:t>
      </w:r>
      <w:r w:rsidR="00CC2EF7" w:rsidRPr="00CC2EF7">
        <w:rPr>
          <w:rFonts w:asciiTheme="minorHAnsi" w:hAnsiTheme="minorHAnsi" w:cstheme="minorBidi"/>
          <w:i/>
          <w:iCs/>
          <w:color w:val="0070C0"/>
        </w:rPr>
        <w:t>ATN/OC-19521-AR</w:t>
      </w:r>
      <w:r w:rsidRPr="08202347">
        <w:rPr>
          <w:rFonts w:asciiTheme="minorHAnsi" w:hAnsiTheme="minorHAnsi" w:cstheme="minorBidi"/>
          <w:i/>
          <w:iCs/>
          <w:color w:val="0070C0"/>
        </w:rPr>
        <w:t xml:space="preserve">                      </w:t>
      </w:r>
    </w:p>
    <w:p w14:paraId="6B175998" w14:textId="674D9012" w:rsidR="00D761FB" w:rsidRDefault="08202347">
      <w:pPr>
        <w:pStyle w:val="BodyText"/>
      </w:pPr>
      <w:r w:rsidRPr="08202347">
        <w:rPr>
          <w:rFonts w:asciiTheme="minorHAnsi" w:eastAsiaTheme="minorEastAsia" w:hAnsiTheme="minorHAnsi" w:cstheme="minorBidi"/>
          <w:i/>
          <w:iCs/>
          <w:color w:val="0070C0"/>
        </w:rPr>
        <w:t>Proyecto #:</w:t>
      </w:r>
      <w:r w:rsidR="00CC2EF7">
        <w:rPr>
          <w:rFonts w:asciiTheme="minorHAnsi" w:eastAsiaTheme="minorEastAsia" w:hAnsiTheme="minorHAnsi" w:cstheme="minorBidi"/>
          <w:i/>
          <w:iCs/>
          <w:color w:val="0070C0"/>
        </w:rPr>
        <w:t xml:space="preserve"> AR-T1275</w:t>
      </w:r>
      <w:r w:rsidR="00CC2EF7">
        <w:rPr>
          <w:rFonts w:asciiTheme="minorHAnsi" w:eastAsiaTheme="minorEastAsia" w:hAnsiTheme="minorHAnsi" w:cstheme="minorBidi"/>
          <w:i/>
          <w:iCs/>
          <w:color w:val="0070C0"/>
        </w:rPr>
        <w:tab/>
      </w:r>
    </w:p>
    <w:p w14:paraId="0495A885" w14:textId="0C9FD82E" w:rsidR="00CC2EF7" w:rsidRDefault="08202347" w:rsidP="00CC2EF7">
      <w:pPr>
        <w:pStyle w:val="BodyText"/>
        <w:rPr>
          <w:rFonts w:asciiTheme="minorHAnsi" w:hAnsiTheme="minorHAnsi" w:cstheme="minorHAnsi"/>
          <w:i/>
          <w:color w:val="0070C0"/>
        </w:rPr>
      </w:pPr>
      <w:r w:rsidRPr="08202347">
        <w:rPr>
          <w:rFonts w:asciiTheme="minorHAnsi" w:eastAsiaTheme="minorEastAsia" w:hAnsiTheme="minorHAnsi" w:cstheme="minorBidi"/>
          <w:i/>
          <w:iCs/>
          <w:color w:val="0070C0"/>
        </w:rPr>
        <w:t>Nombre del TC:</w:t>
      </w:r>
      <w:r w:rsidR="00A01BC8">
        <w:rPr>
          <w:rFonts w:asciiTheme="minorHAnsi" w:eastAsiaTheme="minorEastAsia" w:hAnsiTheme="minorHAnsi" w:cstheme="minorBidi"/>
          <w:i/>
          <w:iCs/>
          <w:color w:val="0070C0"/>
        </w:rPr>
        <w:t xml:space="preserve"> </w:t>
      </w:r>
      <w:r w:rsidR="00CC2EF7" w:rsidRPr="00A223AB">
        <w:rPr>
          <w:rFonts w:asciiTheme="minorHAnsi" w:hAnsiTheme="minorHAnsi" w:cstheme="minorHAnsi"/>
          <w:i/>
          <w:color w:val="0070C0"/>
        </w:rPr>
        <w:t>Políticas públicas agropecuarias y seguimiento de indicadores agroambientales.</w:t>
      </w:r>
    </w:p>
    <w:p w14:paraId="08959238" w14:textId="7C6EA106" w:rsidR="00D761FB" w:rsidRDefault="00D761FB">
      <w:pPr>
        <w:pStyle w:val="BodyText"/>
      </w:pPr>
    </w:p>
    <w:p w14:paraId="7DAFCE94" w14:textId="77777777" w:rsidR="003E40C0" w:rsidRPr="003E40C0" w:rsidRDefault="08202347" w:rsidP="003E40C0">
      <w:pPr>
        <w:pStyle w:val="BodyText"/>
        <w:rPr>
          <w:rFonts w:asciiTheme="minorHAnsi" w:eastAsiaTheme="minorEastAsia" w:hAnsiTheme="minorHAnsi" w:cstheme="minorBidi"/>
          <w:i/>
          <w:iCs/>
          <w:color w:val="0070C0"/>
        </w:rPr>
      </w:pPr>
      <w:r w:rsidRPr="08202347">
        <w:rPr>
          <w:rFonts w:asciiTheme="minorHAnsi" w:eastAsiaTheme="minorEastAsia" w:hAnsiTheme="minorHAnsi" w:cstheme="minorBidi"/>
          <w:i/>
          <w:iCs/>
          <w:color w:val="0070C0"/>
        </w:rPr>
        <w:t xml:space="preserve">Descripción de los Servicios: </w:t>
      </w:r>
      <w:r w:rsidR="003E40C0" w:rsidRPr="003E40C0">
        <w:rPr>
          <w:rFonts w:asciiTheme="minorHAnsi" w:eastAsiaTheme="minorEastAsia" w:hAnsiTheme="minorHAnsi" w:cstheme="minorBidi"/>
          <w:i/>
          <w:iCs/>
          <w:color w:val="0070C0"/>
        </w:rPr>
        <w:t xml:space="preserve">El objetivo general de esta consultoría es realizar los estudios necesarios para determinar la capacidad hídrica y analizar la sustentabilidad productiva de las cuencas donde se desarrollen Proyectos de Inversión Pública de “modernización de irrigación y drenaje para el sector agropecuario” del PROSAP V, considerando escenarios futuros de cambio climático, en la Provincia de Mendoza. </w:t>
      </w:r>
    </w:p>
    <w:p w14:paraId="35128683" w14:textId="5C94F249" w:rsidR="00D761FB" w:rsidRDefault="003E40C0" w:rsidP="003E40C0">
      <w:pPr>
        <w:pStyle w:val="BodyText"/>
        <w:rPr>
          <w:rFonts w:asciiTheme="minorHAnsi" w:eastAsiaTheme="minorEastAsia" w:hAnsiTheme="minorHAnsi" w:cstheme="minorBidi"/>
          <w:i/>
          <w:iCs/>
          <w:color w:val="0070C0"/>
        </w:rPr>
      </w:pPr>
      <w:r w:rsidRPr="003E40C0">
        <w:rPr>
          <w:rFonts w:asciiTheme="minorHAnsi" w:eastAsiaTheme="minorEastAsia" w:hAnsiTheme="minorHAnsi" w:cstheme="minorBidi"/>
          <w:i/>
          <w:iCs/>
          <w:color w:val="0070C0"/>
        </w:rPr>
        <w:t>Se entiende por “capacidad hídrica de las cuencas” la capacidad que tiene la oferta hídrica para satisfacer de forma sostenible la demanda de riego en el marco de los sistemas existentes y su eficiencia actual y futura y considerando la en un contexto de aumento de los impactos climáticos y los escenarios de cambio climático futuros de mediana y alta emisiones (escenarios RCP4.5 y RCP8.5)</w:t>
      </w:r>
      <w:r w:rsidR="08202347" w:rsidRPr="08202347">
        <w:rPr>
          <w:rFonts w:asciiTheme="minorHAnsi" w:eastAsiaTheme="minorEastAsia" w:hAnsiTheme="minorHAnsi" w:cstheme="minorBidi"/>
          <w:i/>
          <w:iCs/>
          <w:color w:val="0070C0"/>
        </w:rPr>
        <w:t xml:space="preserve"> </w:t>
      </w:r>
    </w:p>
    <w:p w14:paraId="19F1721F" w14:textId="77777777" w:rsidR="00D761FB" w:rsidRDefault="00D761FB">
      <w:pPr>
        <w:pStyle w:val="BodyText"/>
        <w:rPr>
          <w:rFonts w:asciiTheme="minorHAnsi" w:hAnsiTheme="minorHAnsi" w:cstheme="minorHAnsi"/>
          <w:i/>
          <w:color w:val="0070C0"/>
        </w:rPr>
      </w:pPr>
    </w:p>
    <w:p w14:paraId="18F92703" w14:textId="04198EE8" w:rsidR="00D761FB" w:rsidRDefault="08202347" w:rsidP="08202347">
      <w:pPr>
        <w:pStyle w:val="BodyText"/>
        <w:rPr>
          <w:rFonts w:asciiTheme="minorHAnsi" w:eastAsiaTheme="minorEastAsia" w:hAnsiTheme="minorHAnsi" w:cstheme="minorBidi"/>
          <w:i/>
          <w:iCs/>
          <w:color w:val="0070C0"/>
        </w:rPr>
      </w:pPr>
      <w:r w:rsidRPr="08202347">
        <w:rPr>
          <w:rFonts w:asciiTheme="minorHAnsi" w:eastAsiaTheme="minorEastAsia" w:hAnsiTheme="minorHAnsi" w:cstheme="minorBidi"/>
          <w:i/>
          <w:iCs/>
          <w:color w:val="0070C0"/>
        </w:rPr>
        <w:t xml:space="preserve">Enlace al documento TC: </w:t>
      </w:r>
      <w:hyperlink r:id="rId14" w:history="1">
        <w:r w:rsidR="00CC2EF7" w:rsidRPr="00CC2EF7">
          <w:rPr>
            <w:rStyle w:val="Hyperlink"/>
            <w:rFonts w:asciiTheme="minorHAnsi" w:eastAsia="Calibri" w:hAnsiTheme="minorHAnsi" w:cstheme="minorHAnsi"/>
            <w:i/>
            <w:lang w:val="es-AR"/>
          </w:rPr>
          <w:t>https://www.iadb.org/en/whats-our-impact/AR-T1275</w:t>
        </w:r>
      </w:hyperlink>
    </w:p>
    <w:p w14:paraId="5D15DF79" w14:textId="77777777" w:rsidR="00D761FB" w:rsidRDefault="00D761FB">
      <w:pPr>
        <w:pStyle w:val="BodyText"/>
        <w:rPr>
          <w:rFonts w:asciiTheme="minorHAnsi" w:hAnsiTheme="minorHAnsi" w:cstheme="minorHAnsi"/>
          <w:i/>
          <w:color w:val="0070C0"/>
        </w:rPr>
      </w:pPr>
    </w:p>
    <w:p w14:paraId="2C0FC91B" w14:textId="072D037D" w:rsidR="00D761FB" w:rsidRDefault="08202347" w:rsidP="005B434A">
      <w:pPr>
        <w:rPr>
          <w:rFonts w:asciiTheme="minorHAnsi" w:hAnsiTheme="minorHAnsi" w:cstheme="minorBidi"/>
          <w:color w:val="auto"/>
        </w:rPr>
      </w:pPr>
      <w:r w:rsidRPr="08202347">
        <w:rPr>
          <w:rFonts w:asciiTheme="minorHAnsi" w:hAnsiTheme="minorHAnsi" w:cstheme="minorBidi"/>
          <w:color w:val="auto"/>
        </w:rPr>
        <w:t xml:space="preserve">El Banco Interamericano de Desarrollo (BID) está ejecutando la operación antes mencionada. Para esta operación, el BID </w:t>
      </w:r>
      <w:r w:rsidRPr="08202347">
        <w:rPr>
          <w:rFonts w:asciiTheme="minorHAnsi" w:hAnsiTheme="minorHAnsi" w:cstheme="minorBidi"/>
        </w:rPr>
        <w:t>tiene la intención de contratar los servicios de consultoría descriptos en esta Solicitud de Expresiones de Interés.</w:t>
      </w:r>
      <w:r w:rsidR="005B434A">
        <w:rPr>
          <w:rFonts w:asciiTheme="minorHAnsi" w:hAnsiTheme="minorHAnsi" w:cstheme="minorBidi"/>
        </w:rPr>
        <w:t xml:space="preserve">  </w:t>
      </w:r>
      <w:r w:rsidR="005B434A" w:rsidRPr="08202347">
        <w:rPr>
          <w:rFonts w:asciiTheme="minorHAnsi" w:hAnsiTheme="minorHAnsi" w:cstheme="minorBidi"/>
          <w:color w:val="auto"/>
        </w:rPr>
        <w:t>Las expresiones de interés deberán ser recibidas</w:t>
      </w:r>
      <w:r w:rsidR="005B434A">
        <w:rPr>
          <w:rFonts w:asciiTheme="minorHAnsi" w:hAnsiTheme="minorHAnsi" w:cstheme="minorBidi"/>
          <w:color w:val="auto"/>
        </w:rPr>
        <w:t xml:space="preserve"> </w:t>
      </w:r>
      <w:r w:rsidR="005B434A" w:rsidRPr="08202347">
        <w:rPr>
          <w:rFonts w:asciiTheme="minorHAnsi" w:hAnsiTheme="minorHAnsi" w:cstheme="minorBidi"/>
          <w:color w:val="auto"/>
        </w:rPr>
        <w:t xml:space="preserve">usando el Portal del BID para las Operaciones Ejecutadas por el Banco </w:t>
      </w:r>
      <w:hyperlink r:id="rId15" w:history="1">
        <w:r w:rsidR="005B434A" w:rsidRPr="08202347">
          <w:rPr>
            <w:rStyle w:val="Hyperlink"/>
            <w:rFonts w:ascii="Calibri" w:eastAsia="Calibri" w:hAnsi="Calibri" w:cs="Calibri"/>
            <w:lang w:val="es-ES"/>
          </w:rPr>
          <w:t>http://beo-procurement.iadb.org/home</w:t>
        </w:r>
      </w:hyperlink>
      <w:r w:rsidR="005B434A">
        <w:rPr>
          <w:rFonts w:asciiTheme="minorHAnsi" w:hAnsiTheme="minorHAnsi" w:cstheme="minorBidi"/>
          <w:color w:val="auto"/>
        </w:rPr>
        <w:t xml:space="preserve"> antes de</w:t>
      </w:r>
      <w:r w:rsidR="003E40C0">
        <w:rPr>
          <w:rFonts w:asciiTheme="minorHAnsi" w:hAnsiTheme="minorHAnsi" w:cstheme="minorBidi"/>
          <w:color w:val="auto"/>
        </w:rPr>
        <w:t xml:space="preserve"> 21 de noviembre</w:t>
      </w:r>
      <w:r w:rsidR="005B434A" w:rsidRPr="08202347">
        <w:rPr>
          <w:rFonts w:asciiTheme="minorHAnsi" w:hAnsiTheme="minorHAnsi" w:cstheme="minorBidi"/>
          <w:color w:val="auto"/>
        </w:rPr>
        <w:t xml:space="preserve"> 5</w:t>
      </w:r>
      <w:r w:rsidR="005B434A">
        <w:rPr>
          <w:rFonts w:asciiTheme="minorHAnsi" w:hAnsiTheme="minorHAnsi" w:cstheme="minorBidi"/>
          <w:color w:val="auto"/>
        </w:rPr>
        <w:t>:00 P.M.</w:t>
      </w:r>
      <w:r w:rsidR="005B434A" w:rsidRPr="08202347">
        <w:rPr>
          <w:rFonts w:asciiTheme="minorHAnsi" w:hAnsiTheme="minorHAnsi" w:cstheme="minorBidi"/>
          <w:color w:val="auto"/>
        </w:rPr>
        <w:t xml:space="preserve"> </w:t>
      </w:r>
      <w:r w:rsidR="005B434A">
        <w:rPr>
          <w:rFonts w:asciiTheme="minorHAnsi" w:hAnsiTheme="minorHAnsi" w:cstheme="minorBidi"/>
          <w:color w:val="auto"/>
        </w:rPr>
        <w:t>(Hora de Washington DC).</w:t>
      </w:r>
    </w:p>
    <w:p w14:paraId="3B4B0DCE" w14:textId="495D739F" w:rsidR="00E90C6D" w:rsidRDefault="00E90C6D" w:rsidP="005B434A">
      <w:pPr>
        <w:rPr>
          <w:rFonts w:asciiTheme="minorHAnsi" w:hAnsiTheme="minorHAnsi" w:cstheme="minorBidi"/>
          <w:color w:val="auto"/>
        </w:rPr>
      </w:pPr>
    </w:p>
    <w:p w14:paraId="2CDBF98B" w14:textId="79D2E17A" w:rsidR="00D761FB" w:rsidRDefault="00195118">
      <w:pPr>
        <w:jc w:val="both"/>
        <w:rPr>
          <w:rFonts w:asciiTheme="minorHAnsi" w:hAnsiTheme="minorHAnsi" w:cstheme="minorBidi"/>
          <w:color w:val="auto"/>
        </w:rPr>
      </w:pPr>
      <w:r w:rsidRPr="00195118">
        <w:rPr>
          <w:rFonts w:asciiTheme="minorHAnsi" w:hAnsiTheme="minorHAnsi" w:cstheme="minorBidi"/>
          <w:color w:val="auto"/>
        </w:rPr>
        <w:t xml:space="preserve">Para acceder al Portal del BID, las firmas deberán de generar una cuenta de registro, incluyendo </w:t>
      </w:r>
      <w:r w:rsidRPr="00195118">
        <w:rPr>
          <w:rFonts w:asciiTheme="minorHAnsi" w:hAnsiTheme="minorHAnsi" w:cstheme="minorBidi"/>
          <w:b/>
          <w:bCs/>
          <w:i/>
          <w:iCs/>
          <w:color w:val="auto"/>
        </w:rPr>
        <w:t>todos</w:t>
      </w:r>
      <w:r w:rsidRPr="00195118">
        <w:rPr>
          <w:rFonts w:asciiTheme="minorHAnsi" w:hAnsiTheme="minorHAnsi" w:cstheme="minorBidi"/>
          <w:color w:val="auto"/>
        </w:rPr>
        <w:t xml:space="preserve"> los datos solicitados por el Portal. En caso de que alguno de los datos solicitados no sea completado, la firma no podrá participar en este o cualquier otro proceso de selección ejecutado por el BID para trabajo operacional. </w:t>
      </w:r>
      <w:r w:rsidR="00897ECF">
        <w:rPr>
          <w:rFonts w:asciiTheme="minorHAnsi" w:hAnsiTheme="minorHAnsi" w:cstheme="minorBidi"/>
          <w:color w:val="auto"/>
        </w:rPr>
        <w:t>Si</w:t>
      </w:r>
      <w:r w:rsidRPr="00195118">
        <w:rPr>
          <w:rFonts w:asciiTheme="minorHAnsi" w:hAnsiTheme="minorHAnsi" w:cstheme="minorBidi"/>
          <w:color w:val="auto"/>
        </w:rPr>
        <w:t xml:space="preserve"> su firma ya se haya registrado previamente, deberá de validar que cuenta con </w:t>
      </w:r>
      <w:r w:rsidRPr="00195118">
        <w:rPr>
          <w:rFonts w:asciiTheme="minorHAnsi" w:hAnsiTheme="minorHAnsi" w:cstheme="minorBidi"/>
          <w:b/>
          <w:bCs/>
          <w:i/>
          <w:iCs/>
          <w:color w:val="auto"/>
        </w:rPr>
        <w:t>todos</w:t>
      </w:r>
      <w:r w:rsidRPr="00195118">
        <w:rPr>
          <w:rFonts w:asciiTheme="minorHAnsi" w:hAnsiTheme="minorHAnsi" w:cstheme="minorBidi"/>
          <w:color w:val="auto"/>
        </w:rPr>
        <w:t xml:space="preserve"> los datos completos y actualizados antes de presentar una expresión de interés.</w:t>
      </w:r>
    </w:p>
    <w:p w14:paraId="2C349D0C" w14:textId="77777777" w:rsidR="00195118" w:rsidRPr="00195118" w:rsidRDefault="00195118">
      <w:pPr>
        <w:jc w:val="both"/>
        <w:rPr>
          <w:rFonts w:asciiTheme="minorHAnsi" w:hAnsiTheme="minorHAnsi" w:cstheme="minorHAnsi"/>
          <w:lang w:val="es-419"/>
        </w:rPr>
      </w:pPr>
    </w:p>
    <w:p w14:paraId="6950FB9B" w14:textId="4B366148" w:rsidR="00D761FB" w:rsidRPr="003E40C0" w:rsidRDefault="08202347" w:rsidP="08202347">
      <w:pPr>
        <w:suppressAutoHyphens/>
        <w:jc w:val="both"/>
        <w:rPr>
          <w:rFonts w:asciiTheme="minorHAnsi" w:hAnsiTheme="minorHAnsi" w:cstheme="minorBidi"/>
          <w:i/>
          <w:iCs/>
          <w:color w:val="548DD4" w:themeColor="text2" w:themeTint="99"/>
        </w:rPr>
      </w:pPr>
      <w:r w:rsidRPr="08202347">
        <w:rPr>
          <w:rFonts w:asciiTheme="minorHAnsi" w:hAnsiTheme="minorHAnsi" w:cstheme="minorBidi"/>
        </w:rPr>
        <w:t>Los servicios de consultoría ("los Servicios") incluyen</w:t>
      </w:r>
      <w:r w:rsidR="003E40C0">
        <w:rPr>
          <w:rFonts w:asciiTheme="minorHAnsi" w:hAnsiTheme="minorHAnsi" w:cstheme="minorBidi"/>
        </w:rPr>
        <w:t xml:space="preserve">: </w:t>
      </w:r>
      <w:r w:rsidR="003E40C0" w:rsidRPr="003E40C0">
        <w:rPr>
          <w:rFonts w:asciiTheme="minorHAnsi" w:hAnsiTheme="minorHAnsi" w:cstheme="minorBidi"/>
          <w:i/>
          <w:iCs/>
          <w:color w:val="548DD4" w:themeColor="text2" w:themeTint="99"/>
        </w:rPr>
        <w:t>ver borrador de TOR debajo.</w:t>
      </w:r>
    </w:p>
    <w:p w14:paraId="545B4BCE" w14:textId="77777777" w:rsidR="00D761FB" w:rsidRDefault="00546C8D">
      <w:pPr>
        <w:jc w:val="both"/>
        <w:rPr>
          <w:rFonts w:asciiTheme="minorHAnsi" w:hAnsiTheme="minorHAnsi" w:cs="Times New Roman"/>
          <w:color w:val="auto"/>
        </w:rPr>
      </w:pPr>
      <w:r>
        <w:rPr>
          <w:rFonts w:asciiTheme="minorHAnsi" w:hAnsiTheme="minorHAnsi" w:cs="Times New Roman"/>
          <w:color w:val="auto"/>
        </w:rPr>
        <w:t xml:space="preserve"> </w:t>
      </w:r>
    </w:p>
    <w:p w14:paraId="35803BFB" w14:textId="5A943D72" w:rsidR="00D761FB" w:rsidRDefault="08202347" w:rsidP="427E340D">
      <w:pPr>
        <w:jc w:val="both"/>
        <w:rPr>
          <w:rFonts w:asciiTheme="minorHAnsi" w:hAnsiTheme="minorHAnsi" w:cstheme="minorBidi"/>
          <w:color w:val="auto"/>
        </w:rPr>
      </w:pPr>
      <w:r w:rsidRPr="427E340D">
        <w:rPr>
          <w:rFonts w:asciiTheme="minorHAnsi" w:hAnsiTheme="minorHAnsi" w:cstheme="minorBidi"/>
          <w:color w:val="auto"/>
        </w:rPr>
        <w:t xml:space="preserve">Las firmas consultoras elegibles serán seleccionados de acuerdo con los procedimientos establecidos en el Banco Interamericano de Desarrollo: </w:t>
      </w:r>
      <w:hyperlink r:id="rId16">
        <w:r w:rsidRPr="427E340D">
          <w:rPr>
            <w:rStyle w:val="Hyperlink"/>
            <w:rFonts w:asciiTheme="minorHAnsi" w:hAnsiTheme="minorHAnsi" w:cstheme="minorBidi"/>
          </w:rPr>
          <w:t>Política para la Selección y Contratación de Firmas Consultoras para el   Trabajo Operativo ejecutado por el Banco - GN-2765-</w:t>
        </w:r>
        <w:r w:rsidR="0506207C" w:rsidRPr="427E340D">
          <w:rPr>
            <w:rStyle w:val="Hyperlink"/>
            <w:rFonts w:asciiTheme="minorHAnsi" w:hAnsiTheme="minorHAnsi" w:cstheme="minorBidi"/>
          </w:rPr>
          <w:t>4</w:t>
        </w:r>
      </w:hyperlink>
      <w:r w:rsidR="00C90263" w:rsidRPr="427E340D">
        <w:rPr>
          <w:rFonts w:asciiTheme="minorHAnsi" w:hAnsiTheme="minorHAnsi" w:cstheme="minorBidi"/>
          <w:color w:val="auto"/>
        </w:rPr>
        <w:t xml:space="preserve">. </w:t>
      </w:r>
      <w:r w:rsidRPr="427E340D">
        <w:rPr>
          <w:rFonts w:asciiTheme="minorHAnsi" w:hAnsiTheme="minorHAnsi" w:cstheme="minorBidi"/>
          <w:color w:val="auto"/>
        </w:rPr>
        <w:t xml:space="preserve">Todas las firmas consultoras elegibles, según se define en la política, pueden manifestar su interés. </w:t>
      </w:r>
      <w:r w:rsidR="00C90263" w:rsidRPr="427E340D">
        <w:rPr>
          <w:rFonts w:asciiTheme="minorHAnsi" w:hAnsiTheme="minorHAnsi" w:cstheme="minorBidi"/>
          <w:color w:val="auto"/>
        </w:rPr>
        <w:t>Si la Firma consultora se presentara en Consorcio, designará a una de ellas como representante, y ésta será responsable de las comunicaciones, del registro en el portal y del envío de los documento</w:t>
      </w:r>
      <w:r w:rsidR="007001EE" w:rsidRPr="427E340D">
        <w:rPr>
          <w:rFonts w:asciiTheme="minorHAnsi" w:hAnsiTheme="minorHAnsi" w:cstheme="minorBidi"/>
          <w:color w:val="auto"/>
        </w:rPr>
        <w:t>s correspondientes.</w:t>
      </w:r>
    </w:p>
    <w:p w14:paraId="68B2066F" w14:textId="77777777" w:rsidR="007001EE" w:rsidRDefault="007001EE">
      <w:pPr>
        <w:jc w:val="both"/>
        <w:rPr>
          <w:rFonts w:asciiTheme="minorHAnsi" w:hAnsiTheme="minorHAnsi" w:cs="Times New Roman"/>
          <w:color w:val="auto"/>
        </w:rPr>
      </w:pPr>
    </w:p>
    <w:p w14:paraId="61707059" w14:textId="79793CE1" w:rsidR="00D761FB" w:rsidRDefault="08202347" w:rsidP="1ACBE1A0">
      <w:pPr>
        <w:jc w:val="both"/>
        <w:rPr>
          <w:rFonts w:asciiTheme="minorHAnsi" w:hAnsiTheme="minorHAnsi" w:cstheme="minorBidi"/>
          <w:color w:val="auto"/>
        </w:rPr>
      </w:pPr>
      <w:r w:rsidRPr="1ACBE1A0">
        <w:rPr>
          <w:rFonts w:asciiTheme="minorHAnsi" w:hAnsiTheme="minorHAnsi" w:cstheme="minorBidi"/>
          <w:color w:val="auto"/>
        </w:rPr>
        <w:t>El BID invita ahora a las firmas consultoras elegibles a expresar su interés en prestar los servicios</w:t>
      </w:r>
      <w:r w:rsidR="00CE0491" w:rsidRPr="1ACBE1A0">
        <w:rPr>
          <w:rFonts w:asciiTheme="minorHAnsi" w:hAnsiTheme="minorHAnsi" w:cstheme="minorBidi"/>
          <w:color w:val="auto"/>
        </w:rPr>
        <w:t xml:space="preserve"> </w:t>
      </w:r>
      <w:r w:rsidR="005B434A" w:rsidRPr="1ACBE1A0">
        <w:rPr>
          <w:rFonts w:asciiTheme="minorHAnsi" w:hAnsiTheme="minorHAnsi" w:cstheme="minorBidi"/>
          <w:color w:val="auto"/>
        </w:rPr>
        <w:t>descritos</w:t>
      </w:r>
      <w:r w:rsidR="00CE0491" w:rsidRPr="1ACBE1A0">
        <w:rPr>
          <w:rFonts w:asciiTheme="minorHAnsi" w:hAnsiTheme="minorHAnsi" w:cstheme="minorBidi"/>
          <w:color w:val="auto"/>
        </w:rPr>
        <w:t xml:space="preserve"> </w:t>
      </w:r>
      <w:r w:rsidR="005B434A" w:rsidRPr="1ACBE1A0">
        <w:rPr>
          <w:rFonts w:asciiTheme="minorHAnsi" w:hAnsiTheme="minorHAnsi" w:cstheme="minorBidi"/>
          <w:color w:val="auto"/>
        </w:rPr>
        <w:t>a</w:t>
      </w:r>
      <w:r w:rsidR="19427AB5" w:rsidRPr="1ACBE1A0">
        <w:rPr>
          <w:rFonts w:asciiTheme="minorHAnsi" w:hAnsiTheme="minorHAnsi" w:cstheme="minorBidi"/>
          <w:color w:val="auto"/>
        </w:rPr>
        <w:t xml:space="preserve">rriba </w:t>
      </w:r>
      <w:r w:rsidR="005B434A" w:rsidRPr="1ACBE1A0">
        <w:rPr>
          <w:rFonts w:asciiTheme="minorHAnsi" w:hAnsiTheme="minorHAnsi" w:cstheme="minorBidi"/>
          <w:color w:val="auto"/>
        </w:rPr>
        <w:t xml:space="preserve">donde </w:t>
      </w:r>
      <w:r w:rsidR="00CE0491" w:rsidRPr="1ACBE1A0">
        <w:rPr>
          <w:rFonts w:asciiTheme="minorHAnsi" w:hAnsiTheme="minorHAnsi" w:cstheme="minorBidi"/>
          <w:color w:val="auto"/>
        </w:rPr>
        <w:t xml:space="preserve">se presenta un </w:t>
      </w:r>
      <w:r w:rsidR="00CE0491" w:rsidRPr="1ACBE1A0">
        <w:rPr>
          <w:rFonts w:asciiTheme="minorHAnsi" w:hAnsiTheme="minorHAnsi" w:cstheme="minorBidi"/>
          <w:color w:val="auto"/>
          <w:u w:val="single"/>
        </w:rPr>
        <w:t>borrador del resumen de los Términos de Referencia</w:t>
      </w:r>
      <w:r w:rsidR="005B434A" w:rsidRPr="1ACBE1A0">
        <w:rPr>
          <w:rFonts w:asciiTheme="minorHAnsi" w:hAnsiTheme="minorHAnsi" w:cstheme="minorBidi"/>
          <w:color w:val="auto"/>
        </w:rPr>
        <w:t xml:space="preserve"> de esta asignación</w:t>
      </w:r>
      <w:r w:rsidRPr="1ACBE1A0">
        <w:rPr>
          <w:rFonts w:asciiTheme="minorHAnsi" w:hAnsiTheme="minorHAnsi" w:cstheme="minorBidi"/>
          <w:color w:val="auto"/>
        </w:rPr>
        <w:t>. Las f</w:t>
      </w:r>
      <w:r w:rsidR="00C90263" w:rsidRPr="1ACBE1A0">
        <w:rPr>
          <w:rFonts w:asciiTheme="minorHAnsi" w:hAnsiTheme="minorHAnsi" w:cstheme="minorBidi"/>
          <w:color w:val="auto"/>
        </w:rPr>
        <w:t xml:space="preserve">irmas consultoras interesadas </w:t>
      </w:r>
      <w:r w:rsidRPr="1ACBE1A0">
        <w:rPr>
          <w:rFonts w:asciiTheme="minorHAnsi" w:hAnsiTheme="minorHAnsi" w:cstheme="minorBidi"/>
          <w:color w:val="auto"/>
        </w:rPr>
        <w:t xml:space="preserve">deberán proporcionar información que indique que están cualificadas para suministrar los servicios (folletos, descripción de trabajos similares, experiencia en condiciones similares, </w:t>
      </w:r>
      <w:r w:rsidRPr="1ACBE1A0">
        <w:rPr>
          <w:rFonts w:asciiTheme="minorHAnsi" w:hAnsiTheme="minorHAnsi" w:cstheme="minorBidi"/>
          <w:color w:val="auto"/>
        </w:rPr>
        <w:lastRenderedPageBreak/>
        <w:t xml:space="preserve">disponibilidad de personal que tenga los conocimientos pertinentes, etc.). Las firmas consultoras elegibles se pueden asociar como un emprendimiento conjunto o en un acuerdo de </w:t>
      </w:r>
      <w:proofErr w:type="spellStart"/>
      <w:r w:rsidRPr="1ACBE1A0">
        <w:rPr>
          <w:rFonts w:asciiTheme="minorHAnsi" w:hAnsiTheme="minorHAnsi" w:cstheme="minorBidi"/>
          <w:color w:val="auto"/>
        </w:rPr>
        <w:t>sub-consultoría</w:t>
      </w:r>
      <w:proofErr w:type="spellEnd"/>
      <w:r w:rsidRPr="1ACBE1A0">
        <w:rPr>
          <w:rFonts w:asciiTheme="minorHAnsi" w:hAnsiTheme="minorHAnsi" w:cstheme="minorBidi"/>
          <w:color w:val="auto"/>
        </w:rPr>
        <w:t xml:space="preserve"> para mejorar sus calificaciones. Dicha asociación o emprendimiento conjunto nombrará a una de las firmas como representante.</w:t>
      </w:r>
    </w:p>
    <w:p w14:paraId="62F95FFB" w14:textId="749B5C2B" w:rsidR="00D761FB" w:rsidRDefault="00D761FB">
      <w:pPr>
        <w:jc w:val="both"/>
        <w:rPr>
          <w:rFonts w:asciiTheme="minorHAnsi" w:hAnsiTheme="minorHAnsi" w:cs="Times New Roman"/>
          <w:smallCaps/>
          <w:color w:val="4F81BD" w:themeColor="accent1"/>
        </w:rPr>
      </w:pPr>
    </w:p>
    <w:p w14:paraId="70D0EF38" w14:textId="01E493EA" w:rsidR="00D761FB" w:rsidRDefault="08202347" w:rsidP="08202347">
      <w:pPr>
        <w:jc w:val="both"/>
        <w:rPr>
          <w:rFonts w:asciiTheme="minorHAnsi" w:hAnsiTheme="minorHAnsi" w:cstheme="minorBidi"/>
          <w:color w:val="auto"/>
        </w:rPr>
      </w:pPr>
      <w:r w:rsidRPr="08202347">
        <w:rPr>
          <w:rFonts w:asciiTheme="minorHAnsi" w:hAnsiTheme="minorHAnsi" w:cstheme="minorBidi"/>
          <w:color w:val="auto"/>
        </w:rPr>
        <w:t>Las firmas consultoras el</w:t>
      </w:r>
      <w:r w:rsidR="007001EE">
        <w:rPr>
          <w:rFonts w:asciiTheme="minorHAnsi" w:hAnsiTheme="minorHAnsi" w:cstheme="minorBidi"/>
          <w:color w:val="auto"/>
        </w:rPr>
        <w:t xml:space="preserve">egibles que estén interesadas </w:t>
      </w:r>
      <w:r w:rsidRPr="08202347">
        <w:rPr>
          <w:rFonts w:asciiTheme="minorHAnsi" w:hAnsiTheme="minorHAnsi" w:cstheme="minorBidi"/>
          <w:color w:val="auto"/>
        </w:rPr>
        <w:t xml:space="preserve">podrán obtener información adicional en horario de oficina, 09:00 a.m. - 5:00 PM (Hora de Washington DC), mediante el envío de un correo electrónico a: </w:t>
      </w:r>
      <w:r w:rsidR="003E40C0">
        <w:rPr>
          <w:rFonts w:asciiTheme="minorHAnsi" w:hAnsiTheme="minorHAnsi" w:cstheme="minorBidi"/>
          <w:i/>
          <w:iCs/>
          <w:color w:val="0070C0"/>
        </w:rPr>
        <w:t>Natalia Magrino, NMAGRINO@iadb.org</w:t>
      </w:r>
    </w:p>
    <w:p w14:paraId="03405C6F" w14:textId="77777777" w:rsidR="00D761FB" w:rsidRDefault="00D761FB">
      <w:pPr>
        <w:jc w:val="both"/>
        <w:rPr>
          <w:rFonts w:asciiTheme="minorHAnsi" w:hAnsiTheme="minorHAnsi" w:cs="Times New Roman"/>
          <w:color w:val="auto"/>
        </w:rPr>
      </w:pPr>
    </w:p>
    <w:p w14:paraId="200D8E06" w14:textId="19822C2D" w:rsidR="00D761FB" w:rsidRDefault="00D761FB">
      <w:pPr>
        <w:jc w:val="both"/>
        <w:rPr>
          <w:rFonts w:asciiTheme="minorHAnsi" w:hAnsiTheme="minorHAnsi" w:cs="Times New Roman"/>
          <w:color w:val="auto"/>
        </w:rPr>
      </w:pPr>
    </w:p>
    <w:p w14:paraId="4B527D25" w14:textId="77777777" w:rsidR="00D761FB" w:rsidRDefault="08202347" w:rsidP="08202347">
      <w:pPr>
        <w:jc w:val="both"/>
        <w:rPr>
          <w:rFonts w:asciiTheme="minorHAnsi" w:hAnsiTheme="minorHAnsi" w:cstheme="minorBidi"/>
          <w:color w:val="auto"/>
        </w:rPr>
      </w:pPr>
      <w:r w:rsidRPr="08202347">
        <w:rPr>
          <w:rFonts w:asciiTheme="minorHAnsi" w:hAnsiTheme="minorHAnsi" w:cstheme="minorBidi"/>
          <w:color w:val="auto"/>
        </w:rPr>
        <w:t>Banco Interamericano de Desarrollo</w:t>
      </w:r>
    </w:p>
    <w:p w14:paraId="5B03049A" w14:textId="504D61CC" w:rsidR="00D761FB" w:rsidRDefault="00546C8D" w:rsidP="08202347">
      <w:pPr>
        <w:jc w:val="both"/>
        <w:rPr>
          <w:rFonts w:asciiTheme="minorHAnsi" w:hAnsiTheme="minorHAnsi" w:cstheme="minorBidi"/>
          <w:i/>
          <w:iCs/>
          <w:color w:val="0070C0"/>
        </w:rPr>
      </w:pPr>
      <w:r w:rsidRPr="08202347">
        <w:rPr>
          <w:rFonts w:asciiTheme="minorHAnsi" w:hAnsiTheme="minorHAnsi" w:cstheme="minorBidi"/>
          <w:color w:val="auto"/>
        </w:rPr>
        <w:t xml:space="preserve">División: </w:t>
      </w:r>
      <w:r w:rsidR="003E40C0">
        <w:rPr>
          <w:rFonts w:asciiTheme="minorHAnsi" w:hAnsiTheme="minorHAnsi" w:cstheme="minorBidi"/>
          <w:i/>
          <w:iCs/>
          <w:color w:val="0070C0"/>
        </w:rPr>
        <w:t>CSD/RND</w:t>
      </w:r>
    </w:p>
    <w:p w14:paraId="3A83DC3F" w14:textId="2EC614A7" w:rsidR="00D761FB" w:rsidRDefault="08202347" w:rsidP="08202347">
      <w:pPr>
        <w:jc w:val="both"/>
        <w:rPr>
          <w:rFonts w:asciiTheme="minorHAnsi" w:hAnsiTheme="minorHAnsi" w:cstheme="minorBidi"/>
          <w:color w:val="auto"/>
        </w:rPr>
      </w:pPr>
      <w:r w:rsidRPr="08202347">
        <w:rPr>
          <w:rFonts w:asciiTheme="minorHAnsi" w:hAnsiTheme="minorHAnsi" w:cstheme="minorBidi"/>
          <w:color w:val="auto"/>
        </w:rPr>
        <w:t>Atención:</w:t>
      </w:r>
      <w:r w:rsidR="003E40C0">
        <w:rPr>
          <w:rFonts w:asciiTheme="minorHAnsi" w:hAnsiTheme="minorHAnsi" w:cstheme="minorBidi"/>
          <w:i/>
          <w:iCs/>
          <w:color w:val="0070C0"/>
        </w:rPr>
        <w:t xml:space="preserve"> Bruno Jacquet</w:t>
      </w:r>
    </w:p>
    <w:p w14:paraId="6C3797D2" w14:textId="08B770BD" w:rsidR="00D761FB" w:rsidRDefault="00D761FB">
      <w:pPr>
        <w:jc w:val="both"/>
        <w:rPr>
          <w:rFonts w:asciiTheme="minorHAnsi" w:hAnsiTheme="minorHAnsi" w:cs="Times New Roman"/>
          <w:color w:val="auto"/>
        </w:rPr>
      </w:pPr>
    </w:p>
    <w:p w14:paraId="7A3B9024" w14:textId="62BA79C8" w:rsidR="00D761FB" w:rsidRPr="003E40C0" w:rsidRDefault="003E40C0" w:rsidP="08202347">
      <w:pPr>
        <w:jc w:val="both"/>
        <w:rPr>
          <w:rFonts w:asciiTheme="minorHAnsi" w:hAnsiTheme="minorHAnsi" w:cstheme="minorBidi"/>
          <w:color w:val="auto"/>
          <w:lang w:val="es-AR"/>
        </w:rPr>
      </w:pPr>
      <w:r w:rsidRPr="003E40C0">
        <w:rPr>
          <w:rFonts w:asciiTheme="minorHAnsi" w:hAnsiTheme="minorHAnsi" w:cstheme="minorBidi"/>
          <w:color w:val="auto"/>
          <w:lang w:val="es-AR"/>
        </w:rPr>
        <w:t>Esmeralda 130, Ciudad de</w:t>
      </w:r>
      <w:r>
        <w:rPr>
          <w:rFonts w:asciiTheme="minorHAnsi" w:hAnsiTheme="minorHAnsi" w:cstheme="minorBidi"/>
          <w:color w:val="auto"/>
          <w:lang w:val="es-AR"/>
        </w:rPr>
        <w:t xml:space="preserve"> Buenos Aires, Argentina</w:t>
      </w:r>
    </w:p>
    <w:p w14:paraId="71BBB3A6" w14:textId="2439BB4F" w:rsidR="00D761FB" w:rsidRPr="003E40C0" w:rsidRDefault="08202347" w:rsidP="08202347">
      <w:pPr>
        <w:suppressAutoHyphens/>
        <w:jc w:val="both"/>
        <w:rPr>
          <w:rFonts w:asciiTheme="minorHAnsi" w:hAnsiTheme="minorHAnsi" w:cstheme="minorBidi"/>
          <w:color w:val="0070C0"/>
          <w:lang w:val="en-US"/>
        </w:rPr>
      </w:pPr>
      <w:r w:rsidRPr="003E40C0">
        <w:rPr>
          <w:rFonts w:asciiTheme="minorHAnsi" w:hAnsiTheme="minorHAnsi" w:cstheme="minorBidi"/>
          <w:lang w:val="en-US"/>
        </w:rPr>
        <w:t xml:space="preserve">Email: </w:t>
      </w:r>
      <w:r w:rsidR="003E40C0">
        <w:rPr>
          <w:rFonts w:asciiTheme="minorHAnsi" w:hAnsiTheme="minorHAnsi" w:cstheme="minorBidi"/>
          <w:i/>
          <w:iCs/>
          <w:color w:val="0070C0"/>
          <w:lang w:val="en-US"/>
        </w:rPr>
        <w:t>BRUNOJ@iadb.org</w:t>
      </w:r>
    </w:p>
    <w:p w14:paraId="6B9A2A55" w14:textId="5A7EFBBB" w:rsidR="00D761FB" w:rsidRPr="003E40C0" w:rsidRDefault="08202347" w:rsidP="08202347">
      <w:pPr>
        <w:jc w:val="both"/>
        <w:rPr>
          <w:rFonts w:asciiTheme="minorHAnsi" w:hAnsiTheme="minorHAnsi" w:cstheme="minorBidi"/>
          <w:color w:val="auto"/>
          <w:lang w:val="en-US"/>
        </w:rPr>
      </w:pPr>
      <w:r w:rsidRPr="003E40C0">
        <w:rPr>
          <w:rFonts w:asciiTheme="minorHAnsi" w:hAnsiTheme="minorHAnsi" w:cstheme="minorBidi"/>
          <w:color w:val="auto"/>
          <w:lang w:val="en-US"/>
        </w:rPr>
        <w:t xml:space="preserve">Sitio Web: </w:t>
      </w:r>
      <w:hyperlink r:id="rId17">
        <w:r w:rsidRPr="003E40C0">
          <w:rPr>
            <w:rStyle w:val="Hyperlink"/>
            <w:rFonts w:asciiTheme="minorHAnsi" w:hAnsiTheme="minorHAnsi" w:cstheme="minorBidi"/>
            <w:lang w:val="en-US"/>
          </w:rPr>
          <w:t>www.iadb.org</w:t>
        </w:r>
      </w:hyperlink>
      <w:r w:rsidRPr="003E40C0">
        <w:rPr>
          <w:rFonts w:asciiTheme="minorHAnsi" w:hAnsiTheme="minorHAnsi" w:cstheme="minorBidi"/>
          <w:color w:val="auto"/>
          <w:lang w:val="en-US"/>
        </w:rPr>
        <w:t xml:space="preserve"> </w:t>
      </w:r>
    </w:p>
    <w:p w14:paraId="548C12AB" w14:textId="1CB50CE1" w:rsidR="00CE0491" w:rsidRPr="003E40C0" w:rsidRDefault="00CE0491" w:rsidP="08202347">
      <w:pPr>
        <w:jc w:val="both"/>
        <w:rPr>
          <w:rFonts w:asciiTheme="minorHAnsi" w:hAnsiTheme="minorHAnsi" w:cstheme="minorBidi"/>
          <w:color w:val="auto"/>
          <w:lang w:val="en-US"/>
        </w:rPr>
      </w:pPr>
    </w:p>
    <w:p w14:paraId="68BBD6A6" w14:textId="09268004" w:rsidR="00CE0491" w:rsidRPr="003E40C0" w:rsidRDefault="00CE0491" w:rsidP="003E40C0">
      <w:pPr>
        <w:jc w:val="center"/>
        <w:rPr>
          <w:rFonts w:asciiTheme="minorHAnsi" w:hAnsiTheme="minorHAnsi" w:cstheme="minorBidi"/>
          <w:b/>
          <w:bCs/>
          <w:color w:val="auto"/>
          <w:lang w:val="en-US"/>
        </w:rPr>
      </w:pPr>
    </w:p>
    <w:p w14:paraId="2509C789" w14:textId="0BD822FA" w:rsidR="00CE0491" w:rsidRPr="003E40C0" w:rsidRDefault="2C944FB1" w:rsidP="003E40C0">
      <w:pPr>
        <w:jc w:val="center"/>
        <w:rPr>
          <w:b/>
          <w:bCs/>
          <w:color w:val="auto"/>
          <w:sz w:val="32"/>
          <w:szCs w:val="32"/>
        </w:rPr>
      </w:pPr>
      <w:r w:rsidRPr="003E40C0">
        <w:rPr>
          <w:b/>
          <w:bCs/>
          <w:color w:val="auto"/>
          <w:sz w:val="32"/>
          <w:szCs w:val="32"/>
        </w:rPr>
        <w:t>Términos de Referencia</w:t>
      </w:r>
    </w:p>
    <w:p w14:paraId="276737AB" w14:textId="77777777" w:rsidR="003E40C0" w:rsidRDefault="003E40C0" w:rsidP="2C944FB1">
      <w:pPr>
        <w:jc w:val="both"/>
        <w:rPr>
          <w:rFonts w:asciiTheme="minorHAnsi" w:hAnsiTheme="minorHAnsi" w:cstheme="minorBidi"/>
          <w:i/>
          <w:iCs/>
          <w:color w:val="auto"/>
          <w:u w:val="single"/>
        </w:rPr>
      </w:pPr>
    </w:p>
    <w:p w14:paraId="28221E64" w14:textId="77777777" w:rsidR="003E40C0" w:rsidRDefault="003E40C0" w:rsidP="003E40C0">
      <w:pPr>
        <w:rPr>
          <w:b/>
        </w:rPr>
      </w:pPr>
      <w:bookmarkStart w:id="0" w:name="_heading=h.gjdgxs" w:colFirst="0" w:colLast="0"/>
      <w:bookmarkStart w:id="1" w:name="_heading=h.1fob9te" w:colFirst="0" w:colLast="0"/>
      <w:bookmarkEnd w:id="0"/>
      <w:bookmarkEnd w:id="1"/>
    </w:p>
    <w:p w14:paraId="3FF49AC0" w14:textId="77777777" w:rsidR="003E40C0" w:rsidRDefault="003E40C0" w:rsidP="003E40C0">
      <w:pPr>
        <w:pStyle w:val="Heading1"/>
        <w:numPr>
          <w:ilvl w:val="0"/>
          <w:numId w:val="1"/>
        </w:numPr>
        <w:rPr>
          <w:b w:val="0"/>
        </w:rPr>
      </w:pPr>
      <w:bookmarkStart w:id="2" w:name="_heading=h.3znysh7" w:colFirst="0" w:colLast="0"/>
      <w:bookmarkEnd w:id="2"/>
      <w:r>
        <w:t>Antecedentes y Justificación</w:t>
      </w:r>
    </w:p>
    <w:p w14:paraId="25E188F9" w14:textId="77777777" w:rsidR="003E40C0" w:rsidRDefault="003E40C0" w:rsidP="003E40C0">
      <w:pPr>
        <w:jc w:val="both"/>
      </w:pPr>
      <w:r>
        <w:t>En la década del 90 en Argentina comenzó el Programa de Servicios Agrícolas Provinciales (PROSAP) en respuesta a las debilidades de infraestructura rural en el interior del país que limitaban su desarrollo productivo.</w:t>
      </w:r>
    </w:p>
    <w:p w14:paraId="58508E66" w14:textId="77777777" w:rsidR="003E40C0" w:rsidRDefault="003E40C0" w:rsidP="003E40C0">
      <w:pPr>
        <w:jc w:val="both"/>
      </w:pPr>
      <w:r>
        <w:t>A la fecha se han ejecutado tres ediciones del PROSAP y una cuarta (PROSAP IV) se encuentra en ejecución con fecha prevista de cierre en 2024. El objetivo general del PROSAP, en sus varias etapas, ha sido contribuir al desarrollo de las economías rurales regionales, haciendo énfasis en las necesidades de infraestructura rural (riego, caminos, electrificación, servicios agropecuarios, entre otras), considerando que en estas economías no pampeanas los impactos adversos del clima y otras amenazas naturales son mayores en términos relativos que en el resto del país. A su vez, el Programa promueve el apoyo a la inversión privada en estas regiones, buscando atenuar procesos de concentración económica y de carácter migratorio no deseado.</w:t>
      </w:r>
    </w:p>
    <w:p w14:paraId="2573C602" w14:textId="77777777" w:rsidR="003E40C0" w:rsidRDefault="003E40C0" w:rsidP="003E40C0">
      <w:pPr>
        <w:jc w:val="both"/>
      </w:pPr>
      <w:r>
        <w:t>A partir de una nueva operación cofinanciada por el BID y el BEI, se ejecutará una quinta edición del Programa (PROSAP V) con el objetivo de contribuir a la mejora en la productividad, la comercialización y el agregado de valor de la producción agroindustrial argentina, con enfoque de adaptación al cambio climático.</w:t>
      </w:r>
    </w:p>
    <w:p w14:paraId="6580043B" w14:textId="77777777" w:rsidR="003E40C0" w:rsidRDefault="003E40C0" w:rsidP="003E40C0">
      <w:pPr>
        <w:jc w:val="both"/>
      </w:pPr>
      <w:r>
        <w:t xml:space="preserve">En este marco, el Componente 1 “Infraestructura Pública Rural” del PROSAP V apuntará a incrementar la cobertura y calidad de la infraestructura pública rural de las provincias alcanzadas por el Programa y la internalización de los beneficios derivados entre la población beneficiaria, desde un enfoque de adaptación al cambio climático. </w:t>
      </w:r>
    </w:p>
    <w:p w14:paraId="7B2F2C8A" w14:textId="77777777" w:rsidR="003E40C0" w:rsidRDefault="003E40C0" w:rsidP="003E40C0">
      <w:pPr>
        <w:jc w:val="both"/>
      </w:pPr>
      <w:r>
        <w:t>Se prevé la realización de 22 obras de infraestructura, de las cuales 13 corresponden a proyectos de modernización de irrigación y drenaje para el sector agropecuario. Todas las obras y actividades apuntan al sustento de la actividad productiva agropecuaria adaptada a condiciones de vulnerabilidad climática, bajo diseños técnicos que consideran dichas condiciones a largo plazo, por lo que contarán con análisis de las cuencas previendo distintos escenarios de cambio climático.</w:t>
      </w:r>
    </w:p>
    <w:p w14:paraId="5BCC938E" w14:textId="77777777" w:rsidR="003E40C0" w:rsidRDefault="003E40C0" w:rsidP="003E40C0">
      <w:pPr>
        <w:jc w:val="both"/>
      </w:pPr>
      <w:r>
        <w:t>Atendiendo a las distintas situaciones que presentan las diferentes provincias, los estudios de cuenca se realizarán agrupando los proyectos por provincia o región/grupo de provincias, con similares características en cuanto a la situación hídrica y al nivel de información de base, implementando una metodología apropiada para cada caso.</w:t>
      </w:r>
    </w:p>
    <w:p w14:paraId="52459E4E" w14:textId="77777777" w:rsidR="003E40C0" w:rsidRDefault="003E40C0" w:rsidP="003E40C0">
      <w:pPr>
        <w:pStyle w:val="Heading1"/>
        <w:numPr>
          <w:ilvl w:val="0"/>
          <w:numId w:val="1"/>
        </w:numPr>
        <w:rPr>
          <w:b w:val="0"/>
        </w:rPr>
      </w:pPr>
      <w:bookmarkStart w:id="3" w:name="_heading=h.2et92p0" w:colFirst="0" w:colLast="0"/>
      <w:bookmarkEnd w:id="3"/>
      <w:r>
        <w:lastRenderedPageBreak/>
        <w:t>Objetivos</w:t>
      </w:r>
    </w:p>
    <w:p w14:paraId="53D6E981" w14:textId="77777777" w:rsidR="003E40C0" w:rsidRDefault="003E40C0" w:rsidP="003E40C0">
      <w:pPr>
        <w:jc w:val="both"/>
      </w:pPr>
      <w:r>
        <w:t xml:space="preserve">El objetivo general de esta consultoría es realizar los estudios necesarios para determinar la capacidad hídrica y analizar la sustentabilidad productiva de las cuencas donde se desarrollen Proyectos de Inversión Pública de “modernización de irrigación y drenaje para el sector agropecuario” del PROSAP V, considerando escenarios futuros de cambio climático, en la Provincia de Mendoza. </w:t>
      </w:r>
    </w:p>
    <w:p w14:paraId="76C8EB87" w14:textId="77777777" w:rsidR="003E40C0" w:rsidRDefault="003E40C0" w:rsidP="003E40C0">
      <w:pPr>
        <w:spacing w:before="240" w:after="240"/>
        <w:jc w:val="both"/>
      </w:pPr>
      <w:r>
        <w:t>Se entiende por “capacidad hídrica de las cuencas” la capacidad que tiene la oferta hídrica para satisfacer de forma sostenible la demanda de riego en el marco de los sistemas existentes y su eficiencia actual y futura y considerando la en un contexto de aumento de los impactos climáticos y los escenarios de cambio climático futuros de mediana y alta emisiones (escenarios RCP4.5 y RCP8.5)</w:t>
      </w:r>
    </w:p>
    <w:p w14:paraId="150088F1" w14:textId="77777777" w:rsidR="003E40C0" w:rsidRDefault="003E40C0" w:rsidP="003E40C0">
      <w:pPr>
        <w:jc w:val="both"/>
      </w:pPr>
      <w:r>
        <w:t xml:space="preserve">Los Proyectos previstos en el PROSAP V para la Provincia de Mendoza son: </w:t>
      </w:r>
    </w:p>
    <w:p w14:paraId="5092326F" w14:textId="77777777" w:rsidR="003E40C0" w:rsidRDefault="003E40C0" w:rsidP="003E40C0">
      <w:pPr>
        <w:ind w:left="720"/>
        <w:jc w:val="both"/>
      </w:pPr>
      <w:r>
        <w:t xml:space="preserve">(1) Modernización de Redes Derivadas de los Tramos Finales del Canal Cacique Guaymallén – Sistema </w:t>
      </w:r>
      <w:proofErr w:type="spellStart"/>
      <w:r>
        <w:t>Jocolí</w:t>
      </w:r>
      <w:proofErr w:type="spellEnd"/>
      <w:r>
        <w:t>,</w:t>
      </w:r>
    </w:p>
    <w:p w14:paraId="13A59E99" w14:textId="77777777" w:rsidR="003E40C0" w:rsidRDefault="003E40C0" w:rsidP="003E40C0">
      <w:pPr>
        <w:ind w:left="720"/>
        <w:jc w:val="both"/>
      </w:pPr>
      <w:r>
        <w:t xml:space="preserve">(2) Modernización de Redes Derivadas de los Tramos Finales del Canal Cacique Guaymallén – Sistema Esteban </w:t>
      </w:r>
      <w:proofErr w:type="spellStart"/>
      <w:r>
        <w:t>Tulumaya</w:t>
      </w:r>
      <w:proofErr w:type="spellEnd"/>
      <w:r>
        <w:t xml:space="preserve">, y </w:t>
      </w:r>
    </w:p>
    <w:p w14:paraId="53C217FE" w14:textId="77777777" w:rsidR="003E40C0" w:rsidRDefault="003E40C0" w:rsidP="003E40C0">
      <w:pPr>
        <w:ind w:left="720"/>
        <w:jc w:val="both"/>
      </w:pPr>
      <w:r>
        <w:t xml:space="preserve">(3) Modernización del Área de Riego de los Canales Santa Rosa- La Paz. </w:t>
      </w:r>
    </w:p>
    <w:p w14:paraId="581F3EE4" w14:textId="77777777" w:rsidR="003E40C0" w:rsidRDefault="003E40C0" w:rsidP="003E40C0">
      <w:pPr>
        <w:jc w:val="both"/>
      </w:pPr>
      <w:r>
        <w:t xml:space="preserve">Los Proyectos (1) y (2) se encuentran sobre la cuenca del Río Mendoza, por lo que la presente contratación incluirá la realización </w:t>
      </w:r>
      <w:r>
        <w:rPr>
          <w:b/>
        </w:rPr>
        <w:t xml:space="preserve">de dos (2) estudios de cuenca. </w:t>
      </w:r>
      <w:r>
        <w:t>El primero para el Río Mendoza en su tramo final y el segundo para el Río Tunuyán inferior, donde se emplaza el Área de Riego de Santa Rosa, La Paz.</w:t>
      </w:r>
    </w:p>
    <w:p w14:paraId="41BCA5F1" w14:textId="77777777" w:rsidR="003E40C0" w:rsidRDefault="003E40C0" w:rsidP="003E40C0">
      <w:pPr>
        <w:jc w:val="both"/>
      </w:pPr>
      <w:r>
        <w:t>En ambos casos, el Departamento General de Irrigación (DGI) de Mendoza dispone de mediciones sistemáticas de caudal en numerosos puntos de la Red y un modelo WEAP calibrado de los sistemas de riego. Dicha información se podrá solicitar al DGI.</w:t>
      </w:r>
    </w:p>
    <w:p w14:paraId="7D36E4B7" w14:textId="77777777" w:rsidR="003E40C0" w:rsidRDefault="003E40C0" w:rsidP="003E40C0">
      <w:pPr>
        <w:jc w:val="both"/>
        <w:rPr>
          <w:color w:val="FF0000"/>
        </w:rPr>
      </w:pPr>
    </w:p>
    <w:p w14:paraId="3DF13C56" w14:textId="77777777" w:rsidR="003E40C0" w:rsidRDefault="003E40C0" w:rsidP="003E40C0">
      <w:pPr>
        <w:pStyle w:val="Heading1"/>
        <w:numPr>
          <w:ilvl w:val="0"/>
          <w:numId w:val="1"/>
        </w:numPr>
        <w:rPr>
          <w:b w:val="0"/>
        </w:rPr>
      </w:pPr>
      <w:bookmarkStart w:id="4" w:name="_heading=h.tyjcwt" w:colFirst="0" w:colLast="0"/>
      <w:bookmarkEnd w:id="4"/>
      <w:r>
        <w:t>Alcance de los Servicios</w:t>
      </w:r>
    </w:p>
    <w:p w14:paraId="6AA492D2" w14:textId="77777777" w:rsidR="003E40C0" w:rsidRDefault="003E40C0" w:rsidP="003E40C0">
      <w:pPr>
        <w:jc w:val="both"/>
      </w:pPr>
      <w:r>
        <w:t>Las estimaciones necesarias para realizar los mencionados estudios de cuenca se obtendrán a partir de modelos hidrológicos e información de gabinete y se utilizarán estudios previos de capacidad hídrica de las cuencas, en los casos que éstos existan.</w:t>
      </w:r>
    </w:p>
    <w:p w14:paraId="46A16B7D" w14:textId="77777777" w:rsidR="003E40C0" w:rsidRDefault="003E40C0" w:rsidP="003E40C0">
      <w:pPr>
        <w:jc w:val="both"/>
      </w:pPr>
      <w:r>
        <w:t xml:space="preserve">Tanto para la estimación de la oferta como de la demanda hídrica se utilizará un software apropiado, previa validación con la Dirección de Proyectos especiales y sectoriales (DIPROSE) y profesionales de referencia locales. También podrá utilizarse la herramienta de simulación </w:t>
      </w:r>
      <w:proofErr w:type="spellStart"/>
      <w:r>
        <w:t>Hydro</w:t>
      </w:r>
      <w:proofErr w:type="spellEnd"/>
      <w:r>
        <w:t xml:space="preserve">-BID </w:t>
      </w:r>
      <w:proofErr w:type="spellStart"/>
      <w:r>
        <w:t>Alloc</w:t>
      </w:r>
      <w:proofErr w:type="spellEnd"/>
      <w:r>
        <w:t xml:space="preserve"> creada por el Banco Interamericano de Desarrollo (BID), así como el apoyo técnico que brinda el Centro de Soporte de </w:t>
      </w:r>
      <w:proofErr w:type="spellStart"/>
      <w:r>
        <w:t>Hydro</w:t>
      </w:r>
      <w:proofErr w:type="spellEnd"/>
      <w:r>
        <w:t>-BID (</w:t>
      </w:r>
      <w:proofErr w:type="spellStart"/>
      <w:r>
        <w:t>CeSH</w:t>
      </w:r>
      <w:proofErr w:type="spellEnd"/>
      <w:r>
        <w:t>).</w:t>
      </w:r>
    </w:p>
    <w:p w14:paraId="39A57526" w14:textId="77777777" w:rsidR="003E40C0" w:rsidRDefault="003E40C0" w:rsidP="003E40C0">
      <w:pPr>
        <w:jc w:val="both"/>
      </w:pPr>
      <w:r>
        <w:t>Las Proyecciones para estimar escenarios futuros de cambio climático se realizarán con los datos de la “Tercera Comunicación Nacional del Gobierno de la República Argentina a las Partes de la Convención Marco de las Naciones Unidas sobre Cambio Climático”, u otra información más actualizada y tomando en cuenta los escenarios futuros de medianas y altas emisiones (escenarios RCP4.5 y RCP8.5).</w:t>
      </w:r>
    </w:p>
    <w:p w14:paraId="1B8C0B5F" w14:textId="77777777" w:rsidR="003E40C0" w:rsidRDefault="003E40C0" w:rsidP="003E40C0">
      <w:pPr>
        <w:jc w:val="both"/>
      </w:pPr>
      <w:r>
        <w:t>Todas las actividades por realizar en el marco de esta consultoría, así como las metodologías y software a aplicar en cada caso, deberán ser validadas previamente con la DIPROSE.</w:t>
      </w:r>
    </w:p>
    <w:p w14:paraId="669D09CF" w14:textId="77777777" w:rsidR="003E40C0" w:rsidRDefault="003E40C0" w:rsidP="003E40C0">
      <w:pPr>
        <w:rPr>
          <w:b/>
          <w:u w:val="single"/>
        </w:rPr>
      </w:pPr>
    </w:p>
    <w:p w14:paraId="318E4349" w14:textId="77777777" w:rsidR="003E40C0" w:rsidRDefault="003E40C0" w:rsidP="003E40C0">
      <w:pPr>
        <w:pStyle w:val="Heading1"/>
        <w:numPr>
          <w:ilvl w:val="0"/>
          <w:numId w:val="1"/>
        </w:numPr>
        <w:rPr>
          <w:b w:val="0"/>
        </w:rPr>
      </w:pPr>
      <w:bookmarkStart w:id="5" w:name="_heading=h.3dy6vkm" w:colFirst="0" w:colLast="0"/>
      <w:bookmarkEnd w:id="5"/>
      <w:r>
        <w:t>Actividades Clave</w:t>
      </w:r>
    </w:p>
    <w:p w14:paraId="39B80F60" w14:textId="77777777" w:rsidR="003E40C0" w:rsidRDefault="003E40C0" w:rsidP="003E40C0">
      <w:pPr>
        <w:ind w:left="284"/>
        <w:jc w:val="both"/>
        <w:rPr>
          <w:b/>
          <w:i/>
        </w:rPr>
      </w:pPr>
      <w:r>
        <w:rPr>
          <w:b/>
          <w:i/>
        </w:rPr>
        <w:t>Para cada estudio de cuenca se prevén las siguientes actividades, que podrán basarse en estudios previos e información existente:</w:t>
      </w:r>
    </w:p>
    <w:p w14:paraId="6532B721" w14:textId="77777777" w:rsidR="003E40C0" w:rsidRDefault="003E40C0" w:rsidP="003E40C0">
      <w:pPr>
        <w:widowControl/>
        <w:numPr>
          <w:ilvl w:val="1"/>
          <w:numId w:val="1"/>
        </w:numPr>
        <w:autoSpaceDE/>
        <w:autoSpaceDN/>
        <w:adjustRightInd/>
        <w:spacing w:after="160" w:line="259" w:lineRule="auto"/>
        <w:ind w:left="993" w:hanging="709"/>
        <w:jc w:val="both"/>
      </w:pPr>
      <w:r>
        <w:rPr>
          <w:b/>
        </w:rPr>
        <w:t xml:space="preserve">Elaboración del plan de trabajo </w:t>
      </w:r>
      <w:r>
        <w:t xml:space="preserve">incluyendo diseño y propuesta de la metodología a utilizar en los estudios y un cronograma con los productos esperados. </w:t>
      </w:r>
    </w:p>
    <w:p w14:paraId="65A86459" w14:textId="77777777" w:rsidR="003E40C0" w:rsidRDefault="003E40C0" w:rsidP="003E40C0">
      <w:pPr>
        <w:widowControl/>
        <w:numPr>
          <w:ilvl w:val="1"/>
          <w:numId w:val="1"/>
        </w:numPr>
        <w:pBdr>
          <w:top w:val="nil"/>
          <w:left w:val="nil"/>
          <w:bottom w:val="nil"/>
          <w:right w:val="nil"/>
          <w:between w:val="nil"/>
        </w:pBdr>
        <w:autoSpaceDE/>
        <w:autoSpaceDN/>
        <w:adjustRightInd/>
        <w:spacing w:after="160" w:line="259" w:lineRule="auto"/>
        <w:ind w:left="993" w:hanging="709"/>
        <w:jc w:val="both"/>
        <w:rPr>
          <w:b/>
        </w:rPr>
      </w:pPr>
      <w:r>
        <w:rPr>
          <w:b/>
        </w:rPr>
        <w:t xml:space="preserve">Diseño Metodológico de Análisis de Cuenca </w:t>
      </w:r>
    </w:p>
    <w:p w14:paraId="081E91BD" w14:textId="77777777" w:rsidR="003E40C0" w:rsidRDefault="003E40C0" w:rsidP="003E40C0">
      <w:pPr>
        <w:widowControl/>
        <w:numPr>
          <w:ilvl w:val="2"/>
          <w:numId w:val="1"/>
        </w:numPr>
        <w:pBdr>
          <w:top w:val="nil"/>
          <w:left w:val="nil"/>
          <w:bottom w:val="nil"/>
          <w:right w:val="nil"/>
          <w:between w:val="nil"/>
        </w:pBdr>
        <w:autoSpaceDE/>
        <w:autoSpaceDN/>
        <w:adjustRightInd/>
        <w:spacing w:after="160" w:line="259" w:lineRule="auto"/>
        <w:jc w:val="both"/>
      </w:pPr>
      <w:r>
        <w:rPr>
          <w:highlight w:val="white"/>
        </w:rPr>
        <w:lastRenderedPageBreak/>
        <w:t xml:space="preserve">Recopilación de antecedentes y estudios previos. </w:t>
      </w:r>
      <w:r>
        <w:t xml:space="preserve">Se podrá solicitar la siguiente información al DGI: caudales, unidades </w:t>
      </w:r>
      <w:proofErr w:type="gramStart"/>
      <w:r>
        <w:t>de  manejo</w:t>
      </w:r>
      <w:proofErr w:type="gramEnd"/>
      <w:r>
        <w:t xml:space="preserve">, usos de suelo, uso de aguas subterráneas, registros de pozos de extracción, derechos de aprovechamiento o concesiones de agua consuntivos y permanentes para los diferentes sectores, infraestructura hidráulica existente o planeada (embalses, trasvases, etc.), eficiencias, mediciones de pérdidas, entre otros. </w:t>
      </w:r>
    </w:p>
    <w:p w14:paraId="17C9A640" w14:textId="77777777" w:rsidR="003E40C0" w:rsidRDefault="003E40C0" w:rsidP="003E40C0">
      <w:pPr>
        <w:widowControl/>
        <w:numPr>
          <w:ilvl w:val="2"/>
          <w:numId w:val="1"/>
        </w:numPr>
        <w:pBdr>
          <w:top w:val="nil"/>
          <w:left w:val="nil"/>
          <w:bottom w:val="nil"/>
          <w:right w:val="nil"/>
          <w:between w:val="nil"/>
        </w:pBdr>
        <w:autoSpaceDE/>
        <w:autoSpaceDN/>
        <w:adjustRightInd/>
        <w:spacing w:after="160" w:line="259" w:lineRule="auto"/>
        <w:jc w:val="both"/>
        <w:rPr>
          <w:highlight w:val="white"/>
        </w:rPr>
      </w:pPr>
      <w:r>
        <w:rPr>
          <w:highlight w:val="white"/>
        </w:rPr>
        <w:t>Recopilación y ordenamiento de la información en cuanto a caracterización de los criterios de manejo de distribución y uso hídrico, y particularidades hidrológicas e hidráulicas.</w:t>
      </w:r>
    </w:p>
    <w:p w14:paraId="2DFBADA2" w14:textId="77777777" w:rsidR="003E40C0" w:rsidRDefault="003E40C0" w:rsidP="003E40C0">
      <w:pPr>
        <w:widowControl/>
        <w:numPr>
          <w:ilvl w:val="2"/>
          <w:numId w:val="1"/>
        </w:numPr>
        <w:pBdr>
          <w:top w:val="nil"/>
          <w:left w:val="nil"/>
          <w:bottom w:val="nil"/>
          <w:right w:val="nil"/>
          <w:between w:val="nil"/>
        </w:pBdr>
        <w:autoSpaceDE/>
        <w:autoSpaceDN/>
        <w:adjustRightInd/>
        <w:spacing w:after="160" w:line="259" w:lineRule="auto"/>
        <w:jc w:val="both"/>
        <w:rPr>
          <w:highlight w:val="white"/>
        </w:rPr>
      </w:pPr>
      <w:r>
        <w:rPr>
          <w:highlight w:val="white"/>
        </w:rPr>
        <w:t>Establecimiento de la unidad de análisis o unidad de manejo (UM). Descripción física y administrativa del área de estudio y establecimiento de las unidades administrativas de manejo. Recopilación de conceptualización de conectividades de cuencas.</w:t>
      </w:r>
    </w:p>
    <w:p w14:paraId="2B40E529" w14:textId="77777777" w:rsidR="003E40C0" w:rsidRDefault="003E40C0" w:rsidP="003E40C0">
      <w:pPr>
        <w:widowControl/>
        <w:numPr>
          <w:ilvl w:val="2"/>
          <w:numId w:val="1"/>
        </w:numPr>
        <w:pBdr>
          <w:top w:val="nil"/>
          <w:left w:val="nil"/>
          <w:bottom w:val="nil"/>
          <w:right w:val="nil"/>
          <w:between w:val="nil"/>
        </w:pBdr>
        <w:autoSpaceDE/>
        <w:autoSpaceDN/>
        <w:adjustRightInd/>
        <w:spacing w:after="160" w:line="259" w:lineRule="auto"/>
        <w:jc w:val="both"/>
        <w:rPr>
          <w:highlight w:val="white"/>
        </w:rPr>
      </w:pPr>
      <w:r>
        <w:rPr>
          <w:highlight w:val="white"/>
        </w:rPr>
        <w:t>Recopilación y ordenamiento de información de base climática e hidrológica necesaria para el estudio.</w:t>
      </w:r>
    </w:p>
    <w:p w14:paraId="73A43068" w14:textId="77777777" w:rsidR="003E40C0" w:rsidRDefault="003E40C0" w:rsidP="003E40C0">
      <w:pPr>
        <w:widowControl/>
        <w:numPr>
          <w:ilvl w:val="1"/>
          <w:numId w:val="1"/>
        </w:numPr>
        <w:pBdr>
          <w:top w:val="nil"/>
          <w:left w:val="nil"/>
          <w:bottom w:val="nil"/>
          <w:right w:val="nil"/>
          <w:between w:val="nil"/>
        </w:pBdr>
        <w:autoSpaceDE/>
        <w:autoSpaceDN/>
        <w:adjustRightInd/>
        <w:spacing w:after="160" w:line="259" w:lineRule="auto"/>
        <w:ind w:left="993" w:hanging="709"/>
        <w:jc w:val="both"/>
        <w:rPr>
          <w:b/>
        </w:rPr>
      </w:pPr>
      <w:r>
        <w:rPr>
          <w:b/>
        </w:rPr>
        <w:t xml:space="preserve">Estudio de la oferta hídrica. </w:t>
      </w:r>
      <w:r>
        <w:t>Se debe analizar, estudiar y modelar la oferta hídrica teniendo en cuenta sus variaciones históricas y los cambios ocurridos debido a los impactos climáticos, las particularidades de cada UM definida y considerando tanto la oferta de agua superficial como de agua subterránea.</w:t>
      </w:r>
    </w:p>
    <w:p w14:paraId="7CE1EFCD" w14:textId="77777777" w:rsidR="003E40C0" w:rsidRDefault="003E40C0" w:rsidP="003E40C0">
      <w:pPr>
        <w:widowControl/>
        <w:numPr>
          <w:ilvl w:val="2"/>
          <w:numId w:val="1"/>
        </w:numPr>
        <w:pBdr>
          <w:top w:val="nil"/>
          <w:left w:val="nil"/>
          <w:bottom w:val="nil"/>
          <w:right w:val="nil"/>
          <w:between w:val="nil"/>
        </w:pBdr>
        <w:autoSpaceDE/>
        <w:autoSpaceDN/>
        <w:adjustRightInd/>
        <w:spacing w:after="160" w:line="259" w:lineRule="auto"/>
        <w:jc w:val="both"/>
      </w:pPr>
      <w:r>
        <w:t xml:space="preserve">Para el estudio de la oferta superficial se consideran los ríos, canales y arroyos que aportan al río o arroyo principal considerado. De ellos, deben analizarse antecedentes, series históricas y datos producidos por las entidades provinciales y/o nacionales. </w:t>
      </w:r>
    </w:p>
    <w:p w14:paraId="02B98C94" w14:textId="77777777" w:rsidR="003E40C0" w:rsidRDefault="003E40C0" w:rsidP="003E40C0">
      <w:pPr>
        <w:widowControl/>
        <w:numPr>
          <w:ilvl w:val="2"/>
          <w:numId w:val="1"/>
        </w:numPr>
        <w:pBdr>
          <w:top w:val="nil"/>
          <w:left w:val="nil"/>
          <w:bottom w:val="nil"/>
          <w:right w:val="nil"/>
          <w:between w:val="nil"/>
        </w:pBdr>
        <w:autoSpaceDE/>
        <w:autoSpaceDN/>
        <w:adjustRightInd/>
        <w:spacing w:after="160" w:line="259" w:lineRule="auto"/>
        <w:jc w:val="both"/>
      </w:pPr>
      <w:r>
        <w:t xml:space="preserve">Para el estudio de la oferta subterránea se debe realizar un análisis de la información hidrogeológica existente. </w:t>
      </w:r>
    </w:p>
    <w:p w14:paraId="2352BC0B" w14:textId="77777777" w:rsidR="003E40C0" w:rsidRDefault="003E40C0" w:rsidP="003E40C0">
      <w:pPr>
        <w:widowControl/>
        <w:numPr>
          <w:ilvl w:val="2"/>
          <w:numId w:val="1"/>
        </w:numPr>
        <w:pBdr>
          <w:top w:val="nil"/>
          <w:left w:val="nil"/>
          <w:bottom w:val="nil"/>
          <w:right w:val="nil"/>
          <w:between w:val="nil"/>
        </w:pBdr>
        <w:autoSpaceDE/>
        <w:autoSpaceDN/>
        <w:adjustRightInd/>
        <w:spacing w:after="160" w:line="259" w:lineRule="auto"/>
        <w:jc w:val="both"/>
      </w:pPr>
      <w:r>
        <w:t>De no existir información con aforos históricos suficientes para determinar la oferta, la misma podrá estimarse a partir de modelos hidrológicos que utilicen datos disponibles de precipitaciones, suelo, cobertura, topografía, etc.</w:t>
      </w:r>
    </w:p>
    <w:p w14:paraId="3804C745" w14:textId="77777777" w:rsidR="003E40C0" w:rsidRDefault="003E40C0" w:rsidP="003E40C0">
      <w:pPr>
        <w:widowControl/>
        <w:numPr>
          <w:ilvl w:val="1"/>
          <w:numId w:val="1"/>
        </w:numPr>
        <w:pBdr>
          <w:top w:val="nil"/>
          <w:left w:val="nil"/>
          <w:bottom w:val="nil"/>
          <w:right w:val="nil"/>
          <w:between w:val="nil"/>
        </w:pBdr>
        <w:autoSpaceDE/>
        <w:autoSpaceDN/>
        <w:adjustRightInd/>
        <w:spacing w:after="160" w:line="259" w:lineRule="auto"/>
        <w:ind w:left="993" w:hanging="709"/>
        <w:jc w:val="both"/>
        <w:rPr>
          <w:b/>
        </w:rPr>
      </w:pPr>
      <w:r>
        <w:rPr>
          <w:b/>
        </w:rPr>
        <w:t xml:space="preserve">Estudio de la demanda hídrica. </w:t>
      </w:r>
      <w:r>
        <w:t xml:space="preserve">A partir de datos sistematizados sobre la distribución y tipo de cultivos, debe estimarse la demanda hídrica para los diferentes usos agrícolas y no agrícolas (abastecimiento poblacional, uso industrial u otros) y su relación. Esta información podrá obtenerse de fuentes provinciales o por interpretación de imágenes satelitales. Deberán contemplarse no solamente datos históricos o proyecciones futuras de demandas actuales sino también posibles aprovechamientos futuros que puedan modificar o generar nuevas demandas. Para esto último se deberá consultar con autoridades locales sobre futuros proyectos que puedan influir en el área analizada.  </w:t>
      </w:r>
    </w:p>
    <w:p w14:paraId="2A5D614F" w14:textId="77777777" w:rsidR="003E40C0" w:rsidRDefault="003E40C0" w:rsidP="003E40C0">
      <w:pPr>
        <w:widowControl/>
        <w:numPr>
          <w:ilvl w:val="1"/>
          <w:numId w:val="1"/>
        </w:numPr>
        <w:pBdr>
          <w:top w:val="nil"/>
          <w:left w:val="nil"/>
          <w:bottom w:val="nil"/>
          <w:right w:val="nil"/>
          <w:between w:val="nil"/>
        </w:pBdr>
        <w:autoSpaceDE/>
        <w:autoSpaceDN/>
        <w:adjustRightInd/>
        <w:spacing w:after="160" w:line="259" w:lineRule="auto"/>
        <w:ind w:left="993" w:hanging="709"/>
        <w:jc w:val="both"/>
        <w:rPr>
          <w:b/>
        </w:rPr>
      </w:pPr>
      <w:r>
        <w:rPr>
          <w:b/>
        </w:rPr>
        <w:t xml:space="preserve">Construcción del modelo de simulación. </w:t>
      </w:r>
      <w:r>
        <w:t>Se incorporarán al Software utilizado todas las variables de oferta y demanda para construir el modelo de simulación.</w:t>
      </w:r>
      <w:r>
        <w:rPr>
          <w:b/>
        </w:rPr>
        <w:t xml:space="preserve"> </w:t>
      </w:r>
    </w:p>
    <w:p w14:paraId="5B6AD2DD" w14:textId="77777777" w:rsidR="003E40C0" w:rsidRDefault="003E40C0" w:rsidP="003E40C0">
      <w:pPr>
        <w:widowControl/>
        <w:numPr>
          <w:ilvl w:val="1"/>
          <w:numId w:val="1"/>
        </w:numPr>
        <w:pBdr>
          <w:top w:val="nil"/>
          <w:left w:val="nil"/>
          <w:bottom w:val="nil"/>
          <w:right w:val="nil"/>
          <w:between w:val="nil"/>
        </w:pBdr>
        <w:autoSpaceDE/>
        <w:autoSpaceDN/>
        <w:adjustRightInd/>
        <w:spacing w:after="160" w:line="259" w:lineRule="auto"/>
        <w:ind w:left="993" w:hanging="709"/>
        <w:jc w:val="both"/>
        <w:rPr>
          <w:b/>
        </w:rPr>
      </w:pPr>
      <w:r>
        <w:rPr>
          <w:b/>
        </w:rPr>
        <w:t xml:space="preserve">Elaboración del balance hídrico actual. </w:t>
      </w:r>
    </w:p>
    <w:p w14:paraId="2C2846D9" w14:textId="77777777" w:rsidR="003E40C0" w:rsidRDefault="003E40C0" w:rsidP="003E40C0">
      <w:pPr>
        <w:widowControl/>
        <w:numPr>
          <w:ilvl w:val="1"/>
          <w:numId w:val="1"/>
        </w:numPr>
        <w:pBdr>
          <w:top w:val="nil"/>
          <w:left w:val="nil"/>
          <w:bottom w:val="nil"/>
          <w:right w:val="nil"/>
          <w:between w:val="nil"/>
        </w:pBdr>
        <w:autoSpaceDE/>
        <w:autoSpaceDN/>
        <w:adjustRightInd/>
        <w:spacing w:after="160" w:line="259" w:lineRule="auto"/>
        <w:ind w:left="993" w:hanging="709"/>
        <w:jc w:val="both"/>
        <w:rPr>
          <w:b/>
        </w:rPr>
      </w:pPr>
      <w:r>
        <w:rPr>
          <w:b/>
        </w:rPr>
        <w:t xml:space="preserve">Construcción de Escenarios de Cambio Climático y elaboración del balance hídrico proyectado para cada caso. </w:t>
      </w:r>
      <w:r>
        <w:t xml:space="preserve">A los efectos de realizar un análisis prospectivo del balance se construirán distintos escenarios futuros de cambio climático a partir de los datos de la “Tercera Comunicación Nacional del Gobierno de la República Argentina a las Partes de la Convención Marco de las Naciones Unidas sobre Cambio Climático”, y se estimarán los </w:t>
      </w:r>
      <w:r>
        <w:lastRenderedPageBreak/>
        <w:t>respectivos balances hídricos proyectados a corto y mediano plazo. Se deberá contrastar con escenarios de crecimiento poblacional y posibles incrementos de otros usos del recurso hídrico.</w:t>
      </w:r>
    </w:p>
    <w:p w14:paraId="2032AF27" w14:textId="77777777" w:rsidR="003E40C0" w:rsidRDefault="003E40C0" w:rsidP="003E40C0">
      <w:pPr>
        <w:widowControl/>
        <w:numPr>
          <w:ilvl w:val="1"/>
          <w:numId w:val="1"/>
        </w:numPr>
        <w:pBdr>
          <w:top w:val="nil"/>
          <w:left w:val="nil"/>
          <w:bottom w:val="nil"/>
          <w:right w:val="nil"/>
          <w:between w:val="nil"/>
        </w:pBdr>
        <w:autoSpaceDE/>
        <w:autoSpaceDN/>
        <w:adjustRightInd/>
        <w:spacing w:after="160" w:line="259" w:lineRule="auto"/>
        <w:ind w:left="993" w:hanging="709"/>
        <w:jc w:val="both"/>
        <w:rPr>
          <w:b/>
        </w:rPr>
      </w:pPr>
      <w:r>
        <w:rPr>
          <w:b/>
        </w:rPr>
        <w:t xml:space="preserve">Elaboración de conclusiones y resultados. </w:t>
      </w:r>
      <w:r>
        <w:t>Se deben interpretar los resultados y obtener las conclusiones en base a las simulaciones y a la construcción de escenarios que integran los aspectos que intervienen en el balance hídrico, tanto en su faz técnica como institucional. Si existiesen recomendaciones para los proyectos involucrados a partir de los resultados y conclusiones, los mismos deben ser informados como parte del presente estudio.</w:t>
      </w:r>
    </w:p>
    <w:p w14:paraId="5376271C" w14:textId="77777777" w:rsidR="003E40C0" w:rsidRDefault="003E40C0" w:rsidP="003E40C0">
      <w:pPr>
        <w:widowControl/>
        <w:numPr>
          <w:ilvl w:val="1"/>
          <w:numId w:val="1"/>
        </w:numPr>
        <w:pBdr>
          <w:top w:val="nil"/>
          <w:left w:val="nil"/>
          <w:bottom w:val="nil"/>
          <w:right w:val="nil"/>
          <w:between w:val="nil"/>
        </w:pBdr>
        <w:autoSpaceDE/>
        <w:autoSpaceDN/>
        <w:adjustRightInd/>
        <w:spacing w:after="160" w:line="259" w:lineRule="auto"/>
        <w:ind w:left="993" w:hanging="709"/>
        <w:jc w:val="both"/>
        <w:rPr>
          <w:b/>
        </w:rPr>
      </w:pPr>
      <w:r>
        <w:rPr>
          <w:b/>
        </w:rPr>
        <w:t>Elaboración del Informe Final.</w:t>
      </w:r>
    </w:p>
    <w:p w14:paraId="76C742FF" w14:textId="77777777" w:rsidR="003E40C0" w:rsidRDefault="003E40C0" w:rsidP="003E40C0">
      <w:pPr>
        <w:pStyle w:val="Heading1"/>
        <w:numPr>
          <w:ilvl w:val="0"/>
          <w:numId w:val="1"/>
        </w:numPr>
        <w:rPr>
          <w:b w:val="0"/>
        </w:rPr>
      </w:pPr>
      <w:bookmarkStart w:id="6" w:name="_heading=h.1t3h5sf" w:colFirst="0" w:colLast="0"/>
      <w:bookmarkEnd w:id="6"/>
      <w:r>
        <w:t xml:space="preserve">Resultados y productos esperados </w:t>
      </w:r>
    </w:p>
    <w:p w14:paraId="55622B12" w14:textId="77777777" w:rsidR="003E40C0" w:rsidRDefault="003E40C0" w:rsidP="003E40C0">
      <w:pPr>
        <w:keepNext/>
        <w:widowControl/>
        <w:numPr>
          <w:ilvl w:val="1"/>
          <w:numId w:val="1"/>
        </w:numPr>
        <w:pBdr>
          <w:top w:val="nil"/>
          <w:left w:val="nil"/>
          <w:bottom w:val="nil"/>
          <w:right w:val="nil"/>
          <w:between w:val="nil"/>
        </w:pBdr>
        <w:autoSpaceDE/>
        <w:autoSpaceDN/>
        <w:adjustRightInd/>
        <w:spacing w:after="160" w:line="259" w:lineRule="auto"/>
        <w:ind w:left="851"/>
        <w:jc w:val="both"/>
      </w:pPr>
      <w:r>
        <w:t>Los productos esperados se organizan en 4 informes:</w:t>
      </w:r>
    </w:p>
    <w:p w14:paraId="321B23E3" w14:textId="77777777" w:rsidR="003E40C0" w:rsidRDefault="003E40C0" w:rsidP="003E40C0">
      <w:pPr>
        <w:pBdr>
          <w:top w:val="nil"/>
          <w:left w:val="nil"/>
          <w:bottom w:val="nil"/>
          <w:right w:val="nil"/>
          <w:between w:val="nil"/>
        </w:pBdr>
        <w:ind w:left="851"/>
        <w:jc w:val="both"/>
      </w:pPr>
      <w:r>
        <w:rPr>
          <w:b/>
          <w:u w:val="single"/>
        </w:rPr>
        <w:t xml:space="preserve">Informe </w:t>
      </w:r>
      <w:proofErr w:type="spellStart"/>
      <w:r>
        <w:rPr>
          <w:b/>
          <w:u w:val="single"/>
        </w:rPr>
        <w:t>N°</w:t>
      </w:r>
      <w:proofErr w:type="spellEnd"/>
      <w:r>
        <w:rPr>
          <w:b/>
          <w:u w:val="single"/>
        </w:rPr>
        <w:t xml:space="preserve"> 1</w:t>
      </w:r>
      <w:r>
        <w:t>: Plan de Trabajo.</w:t>
      </w:r>
    </w:p>
    <w:p w14:paraId="563C86D7" w14:textId="77777777" w:rsidR="003E40C0" w:rsidRDefault="003E40C0" w:rsidP="003E40C0">
      <w:pPr>
        <w:pBdr>
          <w:top w:val="nil"/>
          <w:left w:val="nil"/>
          <w:bottom w:val="nil"/>
          <w:right w:val="nil"/>
          <w:between w:val="nil"/>
        </w:pBdr>
        <w:ind w:left="851"/>
        <w:jc w:val="both"/>
      </w:pPr>
      <w:r>
        <w:rPr>
          <w:b/>
          <w:u w:val="single"/>
        </w:rPr>
        <w:t xml:space="preserve">Informe </w:t>
      </w:r>
      <w:proofErr w:type="spellStart"/>
      <w:r>
        <w:rPr>
          <w:b/>
          <w:u w:val="single"/>
        </w:rPr>
        <w:t>N°</w:t>
      </w:r>
      <w:proofErr w:type="spellEnd"/>
      <w:r>
        <w:rPr>
          <w:b/>
          <w:u w:val="single"/>
        </w:rPr>
        <w:t xml:space="preserve"> 2:</w:t>
      </w:r>
      <w:r>
        <w:rPr>
          <w:b/>
        </w:rPr>
        <w:t xml:space="preserve"> </w:t>
      </w:r>
      <w:r>
        <w:t>Diseño Metodológico de Análisis de Cuenca y Elaboración del balance hídrico actual (a partir de los estudios de oferta y demanda hídrica y la construcción del modelo de simulación).</w:t>
      </w:r>
    </w:p>
    <w:p w14:paraId="6B0DDBF7" w14:textId="77777777" w:rsidR="003E40C0" w:rsidRDefault="003E40C0" w:rsidP="003E40C0">
      <w:pPr>
        <w:pBdr>
          <w:top w:val="nil"/>
          <w:left w:val="nil"/>
          <w:bottom w:val="nil"/>
          <w:right w:val="nil"/>
          <w:between w:val="nil"/>
        </w:pBdr>
        <w:ind w:left="851"/>
        <w:jc w:val="both"/>
      </w:pPr>
      <w:r>
        <w:rPr>
          <w:b/>
          <w:u w:val="single"/>
        </w:rPr>
        <w:t xml:space="preserve">Informe </w:t>
      </w:r>
      <w:proofErr w:type="spellStart"/>
      <w:r>
        <w:rPr>
          <w:b/>
          <w:u w:val="single"/>
        </w:rPr>
        <w:t>N°</w:t>
      </w:r>
      <w:proofErr w:type="spellEnd"/>
      <w:r>
        <w:rPr>
          <w:b/>
          <w:u w:val="single"/>
        </w:rPr>
        <w:t xml:space="preserve"> 3:</w:t>
      </w:r>
      <w:r>
        <w:t xml:space="preserve"> Elaboración del balance hídrico proyectado, considerando escenarios futuros de cambio climático.</w:t>
      </w:r>
    </w:p>
    <w:p w14:paraId="0DBC8839" w14:textId="77777777" w:rsidR="003E40C0" w:rsidRDefault="003E40C0" w:rsidP="003E40C0">
      <w:pPr>
        <w:pBdr>
          <w:top w:val="nil"/>
          <w:left w:val="nil"/>
          <w:bottom w:val="nil"/>
          <w:right w:val="nil"/>
          <w:between w:val="nil"/>
        </w:pBdr>
        <w:ind w:left="851"/>
        <w:jc w:val="both"/>
      </w:pPr>
      <w:r>
        <w:rPr>
          <w:b/>
          <w:u w:val="single"/>
        </w:rPr>
        <w:t xml:space="preserve">Informe </w:t>
      </w:r>
      <w:proofErr w:type="spellStart"/>
      <w:r>
        <w:rPr>
          <w:b/>
          <w:u w:val="single"/>
        </w:rPr>
        <w:t>N°</w:t>
      </w:r>
      <w:proofErr w:type="spellEnd"/>
      <w:r>
        <w:rPr>
          <w:b/>
          <w:u w:val="single"/>
        </w:rPr>
        <w:t xml:space="preserve"> 4:</w:t>
      </w:r>
      <w:r>
        <w:rPr>
          <w:b/>
        </w:rPr>
        <w:t xml:space="preserve"> </w:t>
      </w:r>
      <w:r>
        <w:t>Informe Final de capacidad hídrica de las cuencas donde se desarrollen Proyectos de Inversión Pública de “modernización de irrigación y drenaje para el sector agropecuario” del PROSAP V, considerando escenarios futuros de cambio climático.</w:t>
      </w:r>
    </w:p>
    <w:p w14:paraId="14C29EFE" w14:textId="77777777" w:rsidR="003E40C0" w:rsidRDefault="003E40C0" w:rsidP="003E40C0">
      <w:pPr>
        <w:keepNext/>
        <w:widowControl/>
        <w:numPr>
          <w:ilvl w:val="1"/>
          <w:numId w:val="1"/>
        </w:numPr>
        <w:pBdr>
          <w:top w:val="nil"/>
          <w:left w:val="nil"/>
          <w:bottom w:val="nil"/>
          <w:right w:val="nil"/>
          <w:between w:val="nil"/>
        </w:pBdr>
        <w:autoSpaceDE/>
        <w:autoSpaceDN/>
        <w:adjustRightInd/>
        <w:spacing w:after="160" w:line="259" w:lineRule="auto"/>
        <w:ind w:left="851"/>
        <w:jc w:val="both"/>
      </w:pPr>
      <w:r>
        <w:t>La Política del Banco GN-2765-4 no permite la adquisición de bienes y servicios relacionados, excepto cuando dichos bienes y servicios relacionados son necesarios para alcanzar los objetivos del Trabajo Operativo ejecutado por el Banco y se incluyen en el contrato de servicios de consultoría y representan menos del diez por ciento (10%) del valor del contrato de servicios de consultoría.)  Si se determina que la adquisición de bienes por la firma de consultora es necesaria, por favor, agregue una especificación técnica muy detallada de los requisitos mínimos de dichos bienes.</w:t>
      </w:r>
    </w:p>
    <w:p w14:paraId="095A372A" w14:textId="77777777" w:rsidR="003E40C0" w:rsidRDefault="003E40C0" w:rsidP="003E40C0">
      <w:pPr>
        <w:pStyle w:val="Heading1"/>
        <w:numPr>
          <w:ilvl w:val="0"/>
          <w:numId w:val="1"/>
        </w:numPr>
        <w:rPr>
          <w:b w:val="0"/>
        </w:rPr>
      </w:pPr>
      <w:bookmarkStart w:id="7" w:name="_heading=h.4d34og8" w:colFirst="0" w:colLast="0"/>
      <w:bookmarkEnd w:id="7"/>
      <w:r>
        <w:t>Calendario del Proyecto e Hitos</w:t>
      </w:r>
    </w:p>
    <w:p w14:paraId="65030545" w14:textId="77777777" w:rsidR="003E40C0" w:rsidRDefault="003E40C0" w:rsidP="003E40C0">
      <w:pPr>
        <w:ind w:left="720"/>
        <w:jc w:val="both"/>
      </w:pPr>
      <w:r>
        <w:t>El plazo de ejecución de la Consultoría será de 3 (TRES) meses, según el siguiente cronograma preliminar:</w:t>
      </w:r>
    </w:p>
    <w:tbl>
      <w:tblPr>
        <w:tblW w:w="4957"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15"/>
        <w:gridCol w:w="547"/>
        <w:gridCol w:w="547"/>
        <w:gridCol w:w="548"/>
      </w:tblGrid>
      <w:tr w:rsidR="003E40C0" w14:paraId="44333B80" w14:textId="77777777" w:rsidTr="00A23301">
        <w:trPr>
          <w:trHeight w:val="20"/>
          <w:tblHeader/>
        </w:trPr>
        <w:tc>
          <w:tcPr>
            <w:tcW w:w="3315" w:type="dxa"/>
            <w:vMerge w:val="restart"/>
            <w:tcBorders>
              <w:top w:val="single" w:sz="4" w:space="0" w:color="000000"/>
              <w:left w:val="single" w:sz="4" w:space="0" w:color="000000"/>
              <w:bottom w:val="single" w:sz="4" w:space="0" w:color="000000"/>
              <w:right w:val="single" w:sz="4" w:space="0" w:color="000000"/>
            </w:tcBorders>
            <w:vAlign w:val="center"/>
          </w:tcPr>
          <w:p w14:paraId="3FEE1F0E" w14:textId="77777777" w:rsidR="003E40C0" w:rsidRDefault="003E40C0" w:rsidP="00A23301">
            <w:pPr>
              <w:pBdr>
                <w:top w:val="nil"/>
                <w:left w:val="nil"/>
                <w:bottom w:val="nil"/>
                <w:right w:val="nil"/>
                <w:between w:val="nil"/>
              </w:pBdr>
              <w:spacing w:before="120" w:after="120" w:line="276" w:lineRule="auto"/>
              <w:jc w:val="center"/>
              <w:rPr>
                <w:b/>
              </w:rPr>
            </w:pPr>
            <w:r>
              <w:rPr>
                <w:b/>
              </w:rPr>
              <w:t>ENTREGABLES / PRODUCTOS</w:t>
            </w:r>
          </w:p>
        </w:tc>
        <w:tc>
          <w:tcPr>
            <w:tcW w:w="1642" w:type="dxa"/>
            <w:gridSpan w:val="3"/>
            <w:tcBorders>
              <w:top w:val="single" w:sz="4" w:space="0" w:color="000000"/>
              <w:left w:val="single" w:sz="4" w:space="0" w:color="000000"/>
              <w:bottom w:val="single" w:sz="4" w:space="0" w:color="000000"/>
              <w:right w:val="single" w:sz="4" w:space="0" w:color="000000"/>
            </w:tcBorders>
            <w:vAlign w:val="center"/>
          </w:tcPr>
          <w:p w14:paraId="2D2A20A6" w14:textId="77777777" w:rsidR="003E40C0" w:rsidRDefault="003E40C0" w:rsidP="00A23301">
            <w:pPr>
              <w:pBdr>
                <w:top w:val="nil"/>
                <w:left w:val="nil"/>
                <w:bottom w:val="nil"/>
                <w:right w:val="nil"/>
                <w:between w:val="nil"/>
              </w:pBdr>
              <w:spacing w:before="120" w:after="120" w:line="276" w:lineRule="auto"/>
              <w:jc w:val="center"/>
              <w:rPr>
                <w:b/>
              </w:rPr>
            </w:pPr>
            <w:r>
              <w:rPr>
                <w:b/>
              </w:rPr>
              <w:t>MESES</w:t>
            </w:r>
          </w:p>
        </w:tc>
      </w:tr>
      <w:tr w:rsidR="003E40C0" w14:paraId="35DEB086" w14:textId="77777777" w:rsidTr="00A23301">
        <w:trPr>
          <w:trHeight w:val="20"/>
          <w:tblHeader/>
        </w:trPr>
        <w:tc>
          <w:tcPr>
            <w:tcW w:w="3315" w:type="dxa"/>
            <w:vMerge/>
            <w:tcBorders>
              <w:top w:val="single" w:sz="4" w:space="0" w:color="000000"/>
              <w:left w:val="single" w:sz="4" w:space="0" w:color="000000"/>
              <w:bottom w:val="single" w:sz="4" w:space="0" w:color="000000"/>
              <w:right w:val="single" w:sz="4" w:space="0" w:color="000000"/>
            </w:tcBorders>
            <w:vAlign w:val="center"/>
          </w:tcPr>
          <w:p w14:paraId="7C7E6401" w14:textId="77777777" w:rsidR="003E40C0" w:rsidRDefault="003E40C0" w:rsidP="00A23301">
            <w:pPr>
              <w:pBdr>
                <w:top w:val="nil"/>
                <w:left w:val="nil"/>
                <w:bottom w:val="nil"/>
                <w:right w:val="nil"/>
                <w:between w:val="nil"/>
              </w:pBdr>
              <w:spacing w:line="276" w:lineRule="auto"/>
              <w:rPr>
                <w:b/>
              </w:rPr>
            </w:pPr>
          </w:p>
        </w:tc>
        <w:tc>
          <w:tcPr>
            <w:tcW w:w="547" w:type="dxa"/>
            <w:tcBorders>
              <w:top w:val="single" w:sz="4" w:space="0" w:color="000000"/>
              <w:left w:val="single" w:sz="4" w:space="0" w:color="000000"/>
              <w:bottom w:val="single" w:sz="4" w:space="0" w:color="000000"/>
              <w:right w:val="single" w:sz="4" w:space="0" w:color="000000"/>
            </w:tcBorders>
            <w:vAlign w:val="center"/>
          </w:tcPr>
          <w:p w14:paraId="17CF77A5" w14:textId="77777777" w:rsidR="003E40C0" w:rsidRDefault="003E40C0" w:rsidP="00A23301">
            <w:pPr>
              <w:pBdr>
                <w:top w:val="nil"/>
                <w:left w:val="nil"/>
                <w:bottom w:val="nil"/>
                <w:right w:val="nil"/>
                <w:between w:val="nil"/>
              </w:pBdr>
              <w:spacing w:before="120" w:after="120" w:line="276" w:lineRule="auto"/>
              <w:jc w:val="center"/>
              <w:rPr>
                <w:b/>
              </w:rPr>
            </w:pPr>
            <w:r>
              <w:rPr>
                <w:b/>
              </w:rPr>
              <w:t>1</w:t>
            </w:r>
          </w:p>
        </w:tc>
        <w:tc>
          <w:tcPr>
            <w:tcW w:w="547" w:type="dxa"/>
            <w:tcBorders>
              <w:top w:val="single" w:sz="4" w:space="0" w:color="000000"/>
              <w:left w:val="single" w:sz="4" w:space="0" w:color="000000"/>
              <w:bottom w:val="single" w:sz="4" w:space="0" w:color="000000"/>
              <w:right w:val="single" w:sz="4" w:space="0" w:color="000000"/>
            </w:tcBorders>
            <w:vAlign w:val="center"/>
          </w:tcPr>
          <w:p w14:paraId="0D2DC365" w14:textId="77777777" w:rsidR="003E40C0" w:rsidRDefault="003E40C0" w:rsidP="00A23301">
            <w:pPr>
              <w:pBdr>
                <w:top w:val="nil"/>
                <w:left w:val="nil"/>
                <w:bottom w:val="nil"/>
                <w:right w:val="nil"/>
                <w:between w:val="nil"/>
              </w:pBdr>
              <w:spacing w:before="120" w:after="120" w:line="276" w:lineRule="auto"/>
              <w:jc w:val="center"/>
              <w:rPr>
                <w:b/>
              </w:rPr>
            </w:pPr>
            <w:r>
              <w:rPr>
                <w:b/>
              </w:rPr>
              <w:t>2</w:t>
            </w:r>
          </w:p>
        </w:tc>
        <w:tc>
          <w:tcPr>
            <w:tcW w:w="548" w:type="dxa"/>
            <w:tcBorders>
              <w:top w:val="single" w:sz="4" w:space="0" w:color="000000"/>
              <w:left w:val="single" w:sz="4" w:space="0" w:color="000000"/>
              <w:bottom w:val="single" w:sz="4" w:space="0" w:color="000000"/>
              <w:right w:val="single" w:sz="4" w:space="0" w:color="000000"/>
            </w:tcBorders>
            <w:vAlign w:val="center"/>
          </w:tcPr>
          <w:p w14:paraId="2FADB3FD" w14:textId="77777777" w:rsidR="003E40C0" w:rsidRDefault="003E40C0" w:rsidP="00A23301">
            <w:pPr>
              <w:pBdr>
                <w:top w:val="nil"/>
                <w:left w:val="nil"/>
                <w:bottom w:val="nil"/>
                <w:right w:val="nil"/>
                <w:between w:val="nil"/>
              </w:pBdr>
              <w:spacing w:before="120" w:after="120" w:line="276" w:lineRule="auto"/>
              <w:jc w:val="center"/>
              <w:rPr>
                <w:b/>
              </w:rPr>
            </w:pPr>
            <w:r>
              <w:rPr>
                <w:b/>
              </w:rPr>
              <w:t>3</w:t>
            </w:r>
          </w:p>
        </w:tc>
      </w:tr>
      <w:tr w:rsidR="003E40C0" w14:paraId="6C332F7F" w14:textId="77777777" w:rsidTr="00A23301">
        <w:trPr>
          <w:trHeight w:val="20"/>
          <w:tblHeader/>
        </w:trPr>
        <w:tc>
          <w:tcPr>
            <w:tcW w:w="3315" w:type="dxa"/>
            <w:tcBorders>
              <w:top w:val="single" w:sz="4" w:space="0" w:color="000000"/>
              <w:left w:val="single" w:sz="4" w:space="0" w:color="000000"/>
              <w:bottom w:val="single" w:sz="4" w:space="0" w:color="000000"/>
              <w:right w:val="single" w:sz="4" w:space="0" w:color="000000"/>
            </w:tcBorders>
            <w:vAlign w:val="center"/>
          </w:tcPr>
          <w:p w14:paraId="3B26E6B0" w14:textId="77777777" w:rsidR="003E40C0" w:rsidRDefault="003E40C0" w:rsidP="00A23301">
            <w:pPr>
              <w:spacing w:before="120"/>
              <w:jc w:val="both"/>
            </w:pPr>
            <w:r>
              <w:rPr>
                <w:b/>
              </w:rPr>
              <w:t xml:space="preserve">Informes </w:t>
            </w:r>
            <w:proofErr w:type="spellStart"/>
            <w:r>
              <w:rPr>
                <w:b/>
              </w:rPr>
              <w:t>N°</w:t>
            </w:r>
            <w:proofErr w:type="spellEnd"/>
            <w:r>
              <w:rPr>
                <w:b/>
              </w:rPr>
              <w:t xml:space="preserve"> 1</w:t>
            </w:r>
          </w:p>
        </w:tc>
        <w:tc>
          <w:tcPr>
            <w:tcW w:w="547" w:type="dxa"/>
            <w:tcBorders>
              <w:top w:val="single" w:sz="4" w:space="0" w:color="000000"/>
              <w:left w:val="single" w:sz="4" w:space="0" w:color="000000"/>
              <w:bottom w:val="single" w:sz="4" w:space="0" w:color="000000"/>
              <w:right w:val="single" w:sz="4" w:space="0" w:color="000000"/>
            </w:tcBorders>
            <w:vAlign w:val="center"/>
          </w:tcPr>
          <w:p w14:paraId="5E6CB7E4" w14:textId="77777777" w:rsidR="003E40C0" w:rsidRDefault="003E40C0" w:rsidP="00A23301">
            <w:pPr>
              <w:pBdr>
                <w:top w:val="nil"/>
                <w:left w:val="nil"/>
                <w:bottom w:val="nil"/>
                <w:right w:val="nil"/>
                <w:between w:val="nil"/>
              </w:pBdr>
              <w:spacing w:before="120" w:after="120" w:line="276" w:lineRule="auto"/>
              <w:jc w:val="center"/>
            </w:pPr>
            <w:r>
              <w:t>X</w:t>
            </w:r>
          </w:p>
        </w:tc>
        <w:tc>
          <w:tcPr>
            <w:tcW w:w="547" w:type="dxa"/>
            <w:tcBorders>
              <w:top w:val="single" w:sz="4" w:space="0" w:color="000000"/>
              <w:left w:val="single" w:sz="4" w:space="0" w:color="000000"/>
              <w:bottom w:val="single" w:sz="4" w:space="0" w:color="000000"/>
              <w:right w:val="single" w:sz="4" w:space="0" w:color="000000"/>
            </w:tcBorders>
            <w:vAlign w:val="center"/>
          </w:tcPr>
          <w:p w14:paraId="0BD78A63" w14:textId="77777777" w:rsidR="003E40C0" w:rsidRDefault="003E40C0" w:rsidP="00A23301">
            <w:pPr>
              <w:pBdr>
                <w:top w:val="nil"/>
                <w:left w:val="nil"/>
                <w:bottom w:val="nil"/>
                <w:right w:val="nil"/>
                <w:between w:val="nil"/>
              </w:pBdr>
              <w:spacing w:before="120" w:after="120" w:line="276" w:lineRule="auto"/>
              <w:jc w:val="center"/>
            </w:pPr>
          </w:p>
        </w:tc>
        <w:tc>
          <w:tcPr>
            <w:tcW w:w="548" w:type="dxa"/>
            <w:tcBorders>
              <w:top w:val="single" w:sz="4" w:space="0" w:color="000000"/>
              <w:left w:val="single" w:sz="4" w:space="0" w:color="000000"/>
              <w:bottom w:val="single" w:sz="4" w:space="0" w:color="000000"/>
              <w:right w:val="single" w:sz="4" w:space="0" w:color="000000"/>
            </w:tcBorders>
            <w:vAlign w:val="center"/>
          </w:tcPr>
          <w:p w14:paraId="66E4A24C" w14:textId="77777777" w:rsidR="003E40C0" w:rsidRDefault="003E40C0" w:rsidP="00A23301">
            <w:pPr>
              <w:pBdr>
                <w:top w:val="nil"/>
                <w:left w:val="nil"/>
                <w:bottom w:val="nil"/>
                <w:right w:val="nil"/>
                <w:between w:val="nil"/>
              </w:pBdr>
              <w:spacing w:before="120" w:after="120" w:line="276" w:lineRule="auto"/>
              <w:jc w:val="center"/>
            </w:pPr>
          </w:p>
        </w:tc>
      </w:tr>
      <w:tr w:rsidR="003E40C0" w14:paraId="00036FEE" w14:textId="77777777" w:rsidTr="00A23301">
        <w:trPr>
          <w:trHeight w:val="20"/>
          <w:tblHeader/>
        </w:trPr>
        <w:tc>
          <w:tcPr>
            <w:tcW w:w="3315" w:type="dxa"/>
            <w:tcBorders>
              <w:top w:val="single" w:sz="4" w:space="0" w:color="000000"/>
              <w:left w:val="single" w:sz="4" w:space="0" w:color="000000"/>
              <w:bottom w:val="single" w:sz="4" w:space="0" w:color="000000"/>
              <w:right w:val="single" w:sz="4" w:space="0" w:color="000000"/>
            </w:tcBorders>
            <w:vAlign w:val="center"/>
          </w:tcPr>
          <w:p w14:paraId="02B21EF1" w14:textId="77777777" w:rsidR="003E40C0" w:rsidRDefault="003E40C0" w:rsidP="00A23301">
            <w:pPr>
              <w:spacing w:before="120"/>
              <w:jc w:val="both"/>
              <w:rPr>
                <w:b/>
              </w:rPr>
            </w:pPr>
            <w:r>
              <w:rPr>
                <w:b/>
              </w:rPr>
              <w:t xml:space="preserve">Informe </w:t>
            </w:r>
            <w:proofErr w:type="spellStart"/>
            <w:r>
              <w:rPr>
                <w:b/>
              </w:rPr>
              <w:t>N°</w:t>
            </w:r>
            <w:proofErr w:type="spellEnd"/>
            <w:r>
              <w:rPr>
                <w:b/>
              </w:rPr>
              <w:t xml:space="preserve"> 2</w:t>
            </w:r>
          </w:p>
        </w:tc>
        <w:tc>
          <w:tcPr>
            <w:tcW w:w="547" w:type="dxa"/>
            <w:tcBorders>
              <w:top w:val="single" w:sz="4" w:space="0" w:color="000000"/>
              <w:left w:val="single" w:sz="4" w:space="0" w:color="000000"/>
              <w:bottom w:val="single" w:sz="4" w:space="0" w:color="000000"/>
              <w:right w:val="single" w:sz="4" w:space="0" w:color="000000"/>
            </w:tcBorders>
            <w:vAlign w:val="center"/>
          </w:tcPr>
          <w:p w14:paraId="0659A426" w14:textId="77777777" w:rsidR="003E40C0" w:rsidRDefault="003E40C0" w:rsidP="00A23301">
            <w:pPr>
              <w:pBdr>
                <w:top w:val="nil"/>
                <w:left w:val="nil"/>
                <w:bottom w:val="nil"/>
                <w:right w:val="nil"/>
                <w:between w:val="nil"/>
              </w:pBdr>
              <w:spacing w:before="120" w:after="120" w:line="276" w:lineRule="auto"/>
              <w:jc w:val="center"/>
            </w:pPr>
            <w:r>
              <w:t>X</w:t>
            </w:r>
          </w:p>
        </w:tc>
        <w:tc>
          <w:tcPr>
            <w:tcW w:w="547" w:type="dxa"/>
            <w:tcBorders>
              <w:top w:val="single" w:sz="4" w:space="0" w:color="000000"/>
              <w:left w:val="single" w:sz="4" w:space="0" w:color="000000"/>
              <w:bottom w:val="single" w:sz="4" w:space="0" w:color="000000"/>
              <w:right w:val="single" w:sz="4" w:space="0" w:color="000000"/>
            </w:tcBorders>
            <w:vAlign w:val="center"/>
          </w:tcPr>
          <w:p w14:paraId="37FAF9CF" w14:textId="77777777" w:rsidR="003E40C0" w:rsidRDefault="003E40C0" w:rsidP="00A23301">
            <w:pPr>
              <w:pBdr>
                <w:top w:val="nil"/>
                <w:left w:val="nil"/>
                <w:bottom w:val="nil"/>
                <w:right w:val="nil"/>
                <w:between w:val="nil"/>
              </w:pBdr>
              <w:spacing w:before="120" w:after="120" w:line="276" w:lineRule="auto"/>
              <w:jc w:val="center"/>
            </w:pPr>
          </w:p>
        </w:tc>
        <w:tc>
          <w:tcPr>
            <w:tcW w:w="548" w:type="dxa"/>
            <w:tcBorders>
              <w:top w:val="single" w:sz="4" w:space="0" w:color="000000"/>
              <w:left w:val="single" w:sz="4" w:space="0" w:color="000000"/>
              <w:bottom w:val="single" w:sz="4" w:space="0" w:color="000000"/>
              <w:right w:val="single" w:sz="4" w:space="0" w:color="000000"/>
            </w:tcBorders>
            <w:vAlign w:val="center"/>
          </w:tcPr>
          <w:p w14:paraId="324E46EB" w14:textId="77777777" w:rsidR="003E40C0" w:rsidRDefault="003E40C0" w:rsidP="00A23301">
            <w:pPr>
              <w:pBdr>
                <w:top w:val="nil"/>
                <w:left w:val="nil"/>
                <w:bottom w:val="nil"/>
                <w:right w:val="nil"/>
                <w:between w:val="nil"/>
              </w:pBdr>
              <w:spacing w:before="120" w:after="120" w:line="276" w:lineRule="auto"/>
              <w:jc w:val="center"/>
            </w:pPr>
          </w:p>
        </w:tc>
      </w:tr>
      <w:tr w:rsidR="003E40C0" w14:paraId="66FA61DF" w14:textId="77777777" w:rsidTr="00A23301">
        <w:trPr>
          <w:trHeight w:val="20"/>
          <w:tblHeader/>
        </w:trPr>
        <w:tc>
          <w:tcPr>
            <w:tcW w:w="3315" w:type="dxa"/>
            <w:tcBorders>
              <w:top w:val="single" w:sz="4" w:space="0" w:color="000000"/>
              <w:left w:val="single" w:sz="4" w:space="0" w:color="000000"/>
              <w:bottom w:val="single" w:sz="4" w:space="0" w:color="000000"/>
              <w:right w:val="single" w:sz="4" w:space="0" w:color="000000"/>
            </w:tcBorders>
            <w:vAlign w:val="center"/>
          </w:tcPr>
          <w:p w14:paraId="1EE9A6AD" w14:textId="77777777" w:rsidR="003E40C0" w:rsidRDefault="003E40C0" w:rsidP="00A23301">
            <w:pPr>
              <w:spacing w:before="120"/>
              <w:jc w:val="both"/>
            </w:pPr>
            <w:r>
              <w:rPr>
                <w:b/>
              </w:rPr>
              <w:t xml:space="preserve">Informe </w:t>
            </w:r>
            <w:proofErr w:type="spellStart"/>
            <w:r>
              <w:rPr>
                <w:b/>
              </w:rPr>
              <w:t>N°</w:t>
            </w:r>
            <w:proofErr w:type="spellEnd"/>
            <w:r>
              <w:rPr>
                <w:b/>
              </w:rPr>
              <w:t xml:space="preserve"> 3</w:t>
            </w:r>
          </w:p>
        </w:tc>
        <w:tc>
          <w:tcPr>
            <w:tcW w:w="547" w:type="dxa"/>
            <w:tcBorders>
              <w:top w:val="single" w:sz="4" w:space="0" w:color="000000"/>
              <w:left w:val="single" w:sz="4" w:space="0" w:color="000000"/>
              <w:bottom w:val="single" w:sz="4" w:space="0" w:color="000000"/>
              <w:right w:val="single" w:sz="4" w:space="0" w:color="000000"/>
            </w:tcBorders>
            <w:vAlign w:val="center"/>
          </w:tcPr>
          <w:p w14:paraId="04ABEA95" w14:textId="77777777" w:rsidR="003E40C0" w:rsidRDefault="003E40C0" w:rsidP="00A23301">
            <w:pPr>
              <w:pBdr>
                <w:top w:val="nil"/>
                <w:left w:val="nil"/>
                <w:bottom w:val="nil"/>
                <w:right w:val="nil"/>
                <w:between w:val="nil"/>
              </w:pBdr>
              <w:spacing w:before="120" w:after="120" w:line="276" w:lineRule="auto"/>
              <w:jc w:val="center"/>
            </w:pPr>
          </w:p>
        </w:tc>
        <w:tc>
          <w:tcPr>
            <w:tcW w:w="547" w:type="dxa"/>
            <w:tcBorders>
              <w:top w:val="single" w:sz="4" w:space="0" w:color="000000"/>
              <w:left w:val="single" w:sz="4" w:space="0" w:color="000000"/>
              <w:bottom w:val="single" w:sz="4" w:space="0" w:color="000000"/>
              <w:right w:val="single" w:sz="4" w:space="0" w:color="000000"/>
            </w:tcBorders>
            <w:vAlign w:val="center"/>
          </w:tcPr>
          <w:p w14:paraId="52530C1D" w14:textId="77777777" w:rsidR="003E40C0" w:rsidRDefault="003E40C0" w:rsidP="00A23301">
            <w:pPr>
              <w:pBdr>
                <w:top w:val="nil"/>
                <w:left w:val="nil"/>
                <w:bottom w:val="nil"/>
                <w:right w:val="nil"/>
                <w:between w:val="nil"/>
              </w:pBdr>
              <w:spacing w:before="120" w:after="120" w:line="276" w:lineRule="auto"/>
              <w:jc w:val="center"/>
            </w:pPr>
            <w:r>
              <w:t>X</w:t>
            </w:r>
          </w:p>
        </w:tc>
        <w:tc>
          <w:tcPr>
            <w:tcW w:w="548" w:type="dxa"/>
            <w:tcBorders>
              <w:top w:val="single" w:sz="4" w:space="0" w:color="000000"/>
              <w:left w:val="single" w:sz="4" w:space="0" w:color="000000"/>
              <w:bottom w:val="single" w:sz="4" w:space="0" w:color="000000"/>
              <w:right w:val="single" w:sz="4" w:space="0" w:color="000000"/>
            </w:tcBorders>
            <w:vAlign w:val="center"/>
          </w:tcPr>
          <w:p w14:paraId="57049CA6" w14:textId="77777777" w:rsidR="003E40C0" w:rsidRDefault="003E40C0" w:rsidP="00A23301">
            <w:pPr>
              <w:pBdr>
                <w:top w:val="nil"/>
                <w:left w:val="nil"/>
                <w:bottom w:val="nil"/>
                <w:right w:val="nil"/>
                <w:between w:val="nil"/>
              </w:pBdr>
              <w:spacing w:before="120" w:after="120" w:line="276" w:lineRule="auto"/>
              <w:jc w:val="center"/>
            </w:pPr>
          </w:p>
        </w:tc>
      </w:tr>
      <w:tr w:rsidR="003E40C0" w14:paraId="4993AB76" w14:textId="77777777" w:rsidTr="00A23301">
        <w:trPr>
          <w:trHeight w:val="20"/>
          <w:tblHeader/>
        </w:trPr>
        <w:tc>
          <w:tcPr>
            <w:tcW w:w="3315" w:type="dxa"/>
            <w:tcBorders>
              <w:top w:val="single" w:sz="4" w:space="0" w:color="000000"/>
              <w:left w:val="single" w:sz="4" w:space="0" w:color="000000"/>
              <w:bottom w:val="single" w:sz="4" w:space="0" w:color="000000"/>
              <w:right w:val="single" w:sz="4" w:space="0" w:color="000000"/>
            </w:tcBorders>
            <w:vAlign w:val="center"/>
          </w:tcPr>
          <w:p w14:paraId="2E89927C" w14:textId="77777777" w:rsidR="003E40C0" w:rsidRDefault="003E40C0" w:rsidP="00A23301">
            <w:pPr>
              <w:spacing w:before="120"/>
              <w:jc w:val="both"/>
              <w:rPr>
                <w:b/>
              </w:rPr>
            </w:pPr>
            <w:r>
              <w:rPr>
                <w:b/>
              </w:rPr>
              <w:t xml:space="preserve">Informe </w:t>
            </w:r>
            <w:proofErr w:type="spellStart"/>
            <w:r>
              <w:rPr>
                <w:b/>
              </w:rPr>
              <w:t>N°</w:t>
            </w:r>
            <w:proofErr w:type="spellEnd"/>
            <w:r>
              <w:rPr>
                <w:b/>
              </w:rPr>
              <w:t xml:space="preserve"> 4</w:t>
            </w:r>
          </w:p>
        </w:tc>
        <w:tc>
          <w:tcPr>
            <w:tcW w:w="547" w:type="dxa"/>
            <w:tcBorders>
              <w:top w:val="single" w:sz="4" w:space="0" w:color="000000"/>
              <w:left w:val="single" w:sz="4" w:space="0" w:color="000000"/>
              <w:bottom w:val="single" w:sz="4" w:space="0" w:color="000000"/>
              <w:right w:val="single" w:sz="4" w:space="0" w:color="000000"/>
            </w:tcBorders>
            <w:vAlign w:val="center"/>
          </w:tcPr>
          <w:p w14:paraId="6EC57D27" w14:textId="77777777" w:rsidR="003E40C0" w:rsidRDefault="003E40C0" w:rsidP="00A23301">
            <w:pPr>
              <w:pBdr>
                <w:top w:val="nil"/>
                <w:left w:val="nil"/>
                <w:bottom w:val="nil"/>
                <w:right w:val="nil"/>
                <w:between w:val="nil"/>
              </w:pBdr>
              <w:spacing w:before="120" w:after="120" w:line="276" w:lineRule="auto"/>
              <w:jc w:val="center"/>
            </w:pPr>
          </w:p>
        </w:tc>
        <w:tc>
          <w:tcPr>
            <w:tcW w:w="547" w:type="dxa"/>
            <w:tcBorders>
              <w:top w:val="single" w:sz="4" w:space="0" w:color="000000"/>
              <w:left w:val="single" w:sz="4" w:space="0" w:color="000000"/>
              <w:bottom w:val="single" w:sz="4" w:space="0" w:color="000000"/>
              <w:right w:val="single" w:sz="4" w:space="0" w:color="000000"/>
            </w:tcBorders>
            <w:vAlign w:val="center"/>
          </w:tcPr>
          <w:p w14:paraId="295F46C4" w14:textId="77777777" w:rsidR="003E40C0" w:rsidRDefault="003E40C0" w:rsidP="00A23301">
            <w:pPr>
              <w:pBdr>
                <w:top w:val="nil"/>
                <w:left w:val="nil"/>
                <w:bottom w:val="nil"/>
                <w:right w:val="nil"/>
                <w:between w:val="nil"/>
              </w:pBdr>
              <w:spacing w:before="120" w:after="120" w:line="276" w:lineRule="auto"/>
              <w:jc w:val="center"/>
            </w:pPr>
          </w:p>
        </w:tc>
        <w:tc>
          <w:tcPr>
            <w:tcW w:w="548" w:type="dxa"/>
            <w:tcBorders>
              <w:top w:val="single" w:sz="4" w:space="0" w:color="000000"/>
              <w:left w:val="single" w:sz="4" w:space="0" w:color="000000"/>
              <w:bottom w:val="single" w:sz="4" w:space="0" w:color="000000"/>
              <w:right w:val="single" w:sz="4" w:space="0" w:color="000000"/>
            </w:tcBorders>
            <w:vAlign w:val="center"/>
          </w:tcPr>
          <w:p w14:paraId="472AA1F2" w14:textId="77777777" w:rsidR="003E40C0" w:rsidRDefault="003E40C0" w:rsidP="00A23301">
            <w:pPr>
              <w:pBdr>
                <w:top w:val="nil"/>
                <w:left w:val="nil"/>
                <w:bottom w:val="nil"/>
                <w:right w:val="nil"/>
                <w:between w:val="nil"/>
              </w:pBdr>
              <w:spacing w:before="120" w:after="120" w:line="276" w:lineRule="auto"/>
              <w:jc w:val="center"/>
            </w:pPr>
            <w:r>
              <w:t>X</w:t>
            </w:r>
          </w:p>
        </w:tc>
      </w:tr>
    </w:tbl>
    <w:p w14:paraId="4125B2F2" w14:textId="77777777" w:rsidR="003E40C0" w:rsidRDefault="003E40C0" w:rsidP="003E40C0">
      <w:pPr>
        <w:jc w:val="both"/>
      </w:pPr>
    </w:p>
    <w:p w14:paraId="5E4EC906" w14:textId="77777777" w:rsidR="003E40C0" w:rsidRDefault="003E40C0" w:rsidP="003E40C0">
      <w:pPr>
        <w:pStyle w:val="Heading1"/>
        <w:numPr>
          <w:ilvl w:val="0"/>
          <w:numId w:val="1"/>
        </w:numPr>
        <w:rPr>
          <w:b w:val="0"/>
        </w:rPr>
      </w:pPr>
      <w:bookmarkStart w:id="8" w:name="_heading=h.17dp8vu" w:colFirst="0" w:colLast="0"/>
      <w:bookmarkStart w:id="9" w:name="_heading=h.3rdcrjn" w:colFirst="0" w:colLast="0"/>
      <w:bookmarkEnd w:id="8"/>
      <w:bookmarkEnd w:id="9"/>
      <w:r>
        <w:t>Criterios de aceptación</w:t>
      </w:r>
    </w:p>
    <w:p w14:paraId="0F82E697" w14:textId="77777777" w:rsidR="003E40C0" w:rsidRDefault="003E40C0" w:rsidP="003E40C0">
      <w:pPr>
        <w:ind w:left="720"/>
        <w:jc w:val="both"/>
      </w:pPr>
      <w:r>
        <w:t xml:space="preserve">Los entregables deberán ser remitidos al Banco en un sólo archivo electrónico, los borradores en formato .docx de </w:t>
      </w:r>
      <w:proofErr w:type="spellStart"/>
      <w:r>
        <w:t>MsWord</w:t>
      </w:r>
      <w:proofErr w:type="spellEnd"/>
      <w:r>
        <w:t xml:space="preserve"> y el informe final en formato PDF, incluyendo una página de cubierta, el informe propiamente dicho y todos los anexos que correspondan (no </w:t>
      </w:r>
      <w:r>
        <w:lastRenderedPageBreak/>
        <w:t>se aceptan archivos en formato Zip). Todos los entregables deberán ser en español en texto, como así también en gráficos e imágenes.</w:t>
      </w:r>
    </w:p>
    <w:p w14:paraId="2BD4E88D" w14:textId="77777777" w:rsidR="003E40C0" w:rsidRDefault="003E40C0" w:rsidP="003E40C0">
      <w:pPr>
        <w:pStyle w:val="Heading1"/>
        <w:numPr>
          <w:ilvl w:val="0"/>
          <w:numId w:val="1"/>
        </w:numPr>
        <w:rPr>
          <w:b w:val="0"/>
        </w:rPr>
      </w:pPr>
      <w:bookmarkStart w:id="10" w:name="_heading=h.4i7ojhp" w:colFirst="0" w:colLast="0"/>
      <w:bookmarkEnd w:id="10"/>
      <w:r>
        <w:t>Otros requisitos</w:t>
      </w:r>
    </w:p>
    <w:p w14:paraId="21EA3DD2" w14:textId="77777777" w:rsidR="003E40C0" w:rsidRDefault="003E40C0" w:rsidP="003E40C0">
      <w:pPr>
        <w:pBdr>
          <w:top w:val="nil"/>
          <w:left w:val="nil"/>
          <w:bottom w:val="nil"/>
          <w:right w:val="nil"/>
          <w:between w:val="nil"/>
        </w:pBdr>
        <w:ind w:left="720"/>
        <w:jc w:val="both"/>
      </w:pPr>
      <w:r>
        <w:t xml:space="preserve">La firma consultora deberá presentar antecedentes propios o de los consultores involucrados en el equipo de trabajo en proyectos similares y cualquier otro antecedente que contribuya a la evaluación de este aspecto. </w:t>
      </w:r>
    </w:p>
    <w:p w14:paraId="3252578A" w14:textId="77777777" w:rsidR="003E40C0" w:rsidRDefault="003E40C0" w:rsidP="003E40C0">
      <w:pPr>
        <w:pBdr>
          <w:top w:val="nil"/>
          <w:left w:val="nil"/>
          <w:bottom w:val="nil"/>
          <w:right w:val="nil"/>
          <w:between w:val="nil"/>
        </w:pBdr>
        <w:ind w:left="720"/>
        <w:jc w:val="both"/>
      </w:pPr>
      <w:r>
        <w:t xml:space="preserve">La firma consultora deberá incluir en su propuesta el personal clave para la adecuada ejecución de las actividades solicitadas. Deberá especificar la estructura del equipo, las responsabilidades de cada uno en el proyecto y el tiempo de dedicación al mismo. </w:t>
      </w:r>
    </w:p>
    <w:p w14:paraId="1BF51018" w14:textId="77777777" w:rsidR="003E40C0" w:rsidRDefault="003E40C0" w:rsidP="003E40C0">
      <w:pPr>
        <w:pBdr>
          <w:top w:val="nil"/>
          <w:left w:val="nil"/>
          <w:bottom w:val="nil"/>
          <w:right w:val="nil"/>
          <w:between w:val="nil"/>
        </w:pBdr>
        <w:ind w:left="720"/>
        <w:jc w:val="both"/>
      </w:pPr>
      <w:r>
        <w:t>El personal clave deberá incluir un Líder de Proyecto y un especialista por cada una de las siguientes temáticas: Hidráulica, Hidrogeología, Agronomía y Cambio climático.</w:t>
      </w:r>
    </w:p>
    <w:p w14:paraId="23771CB9" w14:textId="77777777" w:rsidR="003E40C0" w:rsidRPr="00E2734D" w:rsidRDefault="003E40C0" w:rsidP="003E40C0">
      <w:pPr>
        <w:pStyle w:val="Heading1"/>
        <w:numPr>
          <w:ilvl w:val="0"/>
          <w:numId w:val="1"/>
        </w:numPr>
        <w:ind w:firstLine="0"/>
      </w:pPr>
      <w:bookmarkStart w:id="11" w:name="_heading=h.1y810tw" w:colFirst="0" w:colLast="0"/>
      <w:bookmarkEnd w:id="11"/>
      <w:r>
        <w:t>Supervisión e Informes</w:t>
      </w:r>
    </w:p>
    <w:p w14:paraId="2B959AEF" w14:textId="77777777" w:rsidR="003E40C0" w:rsidRDefault="003E40C0" w:rsidP="003E40C0">
      <w:pPr>
        <w:ind w:left="720"/>
        <w:jc w:val="both"/>
      </w:pPr>
      <w:r>
        <w:t xml:space="preserve">Los informes serán revisados, comentados y validados por el Banco y la DIPROSE, quien podrá previamente consultar con las autoridades locales, o especialistas designados por el Banco a tal fin. La aprobación final de los informes, documentos, trabajos será responsabilidad del supervisor, especialista sectorial del BID y jefe de equipo. </w:t>
      </w:r>
    </w:p>
    <w:p w14:paraId="25657F5E" w14:textId="77777777" w:rsidR="003E40C0" w:rsidRDefault="003E40C0" w:rsidP="003E40C0">
      <w:pPr>
        <w:ind w:left="720"/>
        <w:jc w:val="both"/>
      </w:pPr>
      <w:r>
        <w:t xml:space="preserve">La firma consultora se comunicará con el supervisor de la Cooperación Técnica o quien sea que él designe como su representante, por medio de reuniones presenciales y virtuales, la frecuencia de las cuales será determinada en función de las necesidades. </w:t>
      </w:r>
    </w:p>
    <w:p w14:paraId="41D409FF" w14:textId="77777777" w:rsidR="003E40C0" w:rsidRPr="00CD49A4" w:rsidRDefault="003E40C0" w:rsidP="003E40C0">
      <w:pPr>
        <w:pBdr>
          <w:top w:val="nil"/>
          <w:left w:val="nil"/>
          <w:bottom w:val="nil"/>
          <w:right w:val="nil"/>
          <w:between w:val="nil"/>
        </w:pBdr>
        <w:jc w:val="both"/>
        <w:rPr>
          <w:u w:val="single"/>
        </w:rPr>
      </w:pPr>
    </w:p>
    <w:p w14:paraId="7E905519" w14:textId="77777777" w:rsidR="003E40C0" w:rsidRDefault="003E40C0" w:rsidP="003E40C0">
      <w:pPr>
        <w:pStyle w:val="Heading1"/>
        <w:numPr>
          <w:ilvl w:val="0"/>
          <w:numId w:val="1"/>
        </w:numPr>
        <w:ind w:left="0" w:firstLine="0"/>
      </w:pPr>
      <w:r w:rsidRPr="00CD49A4">
        <w:t>Calendario de Pagos</w:t>
      </w:r>
    </w:p>
    <w:p w14:paraId="021D9BA5" w14:textId="77777777" w:rsidR="003E40C0" w:rsidRPr="005D0018" w:rsidRDefault="003E40C0" w:rsidP="003E40C0">
      <w:pPr>
        <w:pStyle w:val="Heading1"/>
        <w:numPr>
          <w:ilvl w:val="1"/>
          <w:numId w:val="1"/>
        </w:numPr>
        <w:ind w:left="1260"/>
        <w:rPr>
          <w:b w:val="0"/>
          <w:bCs w:val="0"/>
        </w:rPr>
      </w:pPr>
      <w:r w:rsidRPr="005D0018">
        <w:rPr>
          <w:rFonts w:asciiTheme="minorHAnsi" w:hAnsiTheme="minorHAnsi" w:cs="Times New Roman"/>
          <w:b w:val="0"/>
          <w:bCs w:val="0"/>
        </w:rPr>
        <w:t xml:space="preserve">Las condiciones de pago se basarán en los hitos o entregables del proyecto.  El Banco no espera hacer pagos por adelantado en virtud de contratos de consultoría a menos que se requiera una cantidad significativa de viajes.  </w:t>
      </w:r>
      <w:r w:rsidRPr="005D0018">
        <w:rPr>
          <w:rFonts w:asciiTheme="minorHAnsi" w:hAnsiTheme="minorHAnsi"/>
          <w:b w:val="0"/>
          <w:bCs w:val="0"/>
        </w:rPr>
        <w:t>El Banco desea recibir la propuesta de costos más competitiva para los servicios descritos en el presente documento.</w:t>
      </w:r>
    </w:p>
    <w:p w14:paraId="44E8AA49" w14:textId="77777777" w:rsidR="003E40C0" w:rsidRDefault="003E40C0" w:rsidP="003E40C0">
      <w:pPr>
        <w:pStyle w:val="BodyTextIndent3"/>
        <w:widowControl w:val="0"/>
        <w:numPr>
          <w:ilvl w:val="1"/>
          <w:numId w:val="1"/>
        </w:numPr>
        <w:tabs>
          <w:tab w:val="left" w:pos="1080"/>
        </w:tabs>
        <w:suppressAutoHyphens/>
        <w:autoSpaceDE w:val="0"/>
        <w:autoSpaceDN w:val="0"/>
        <w:adjustRightInd w:val="0"/>
        <w:spacing w:line="240" w:lineRule="auto"/>
        <w:textAlignment w:val="baseline"/>
        <w:rPr>
          <w:rFonts w:asciiTheme="minorHAnsi" w:hAnsiTheme="minorHAnsi" w:cs="Times New Roman"/>
          <w:sz w:val="22"/>
          <w:szCs w:val="22"/>
        </w:rPr>
      </w:pPr>
      <w:r w:rsidRPr="5BE35F08">
        <w:rPr>
          <w:rFonts w:asciiTheme="minorHAnsi" w:hAnsiTheme="minorHAnsi" w:cs="Times New Roman"/>
          <w:sz w:val="22"/>
          <w:szCs w:val="22"/>
        </w:rPr>
        <w:t xml:space="preserve">La Tasa de Cambios Oficial del BID indicada en </w:t>
      </w:r>
      <w:r>
        <w:rPr>
          <w:rFonts w:asciiTheme="minorHAnsi" w:hAnsiTheme="minorHAnsi" w:cs="Times New Roman"/>
          <w:sz w:val="22"/>
          <w:szCs w:val="22"/>
        </w:rPr>
        <w:t xml:space="preserve">la solicitud de propuesta, </w:t>
      </w:r>
      <w:r w:rsidRPr="5BE35F08">
        <w:rPr>
          <w:rFonts w:asciiTheme="minorHAnsi" w:hAnsiTheme="minorHAnsi" w:cs="Times New Roman"/>
          <w:sz w:val="22"/>
          <w:szCs w:val="22"/>
        </w:rPr>
        <w:t xml:space="preserve">se aplicará para las conversiones necesarias de los pagos en moneda local. </w:t>
      </w:r>
    </w:p>
    <w:p w14:paraId="2CD985D8" w14:textId="77777777" w:rsidR="003E40C0" w:rsidRDefault="003E40C0" w:rsidP="003E40C0">
      <w:pPr>
        <w:pStyle w:val="BodyTextIndent3"/>
        <w:widowControl w:val="0"/>
        <w:tabs>
          <w:tab w:val="left" w:pos="1080"/>
        </w:tabs>
        <w:suppressAutoHyphens/>
        <w:autoSpaceDE w:val="0"/>
        <w:autoSpaceDN w:val="0"/>
        <w:adjustRightInd w:val="0"/>
        <w:spacing w:line="240" w:lineRule="auto"/>
        <w:ind w:left="1152"/>
        <w:textAlignment w:val="baseline"/>
        <w:rPr>
          <w:rFonts w:asciiTheme="minorHAnsi" w:hAnsiTheme="minorHAnsi" w:cs="Times New Roman"/>
          <w:sz w:val="22"/>
          <w:szCs w:val="22"/>
        </w:rPr>
      </w:pPr>
    </w:p>
    <w:tbl>
      <w:tblPr>
        <w:tblW w:w="846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6871"/>
      </w:tblGrid>
      <w:tr w:rsidR="003E40C0" w:rsidRPr="005E0499" w14:paraId="376C28EB" w14:textId="77777777" w:rsidTr="00A23301">
        <w:trPr>
          <w:trHeight w:val="227"/>
        </w:trPr>
        <w:tc>
          <w:tcPr>
            <w:tcW w:w="8460" w:type="dxa"/>
            <w:gridSpan w:val="2"/>
            <w:tcBorders>
              <w:top w:val="single" w:sz="4" w:space="0" w:color="000000"/>
              <w:left w:val="single" w:sz="4" w:space="0" w:color="000000"/>
              <w:bottom w:val="single" w:sz="4" w:space="0" w:color="000000"/>
              <w:right w:val="single" w:sz="4" w:space="0" w:color="000000"/>
            </w:tcBorders>
            <w:shd w:val="clear" w:color="auto" w:fill="FFFFFF"/>
          </w:tcPr>
          <w:p w14:paraId="2FF07959" w14:textId="77777777" w:rsidR="003E40C0" w:rsidRPr="005E0499" w:rsidRDefault="003E40C0" w:rsidP="00A23301">
            <w:pPr>
              <w:pBdr>
                <w:top w:val="nil"/>
                <w:left w:val="nil"/>
                <w:bottom w:val="nil"/>
                <w:right w:val="nil"/>
                <w:between w:val="nil"/>
              </w:pBdr>
              <w:spacing w:before="120" w:after="120" w:line="276" w:lineRule="auto"/>
              <w:jc w:val="both"/>
              <w:rPr>
                <w:b/>
              </w:rPr>
            </w:pPr>
            <w:r>
              <w:rPr>
                <w:b/>
              </w:rPr>
              <w:t>% de pago                 Entregable</w:t>
            </w:r>
          </w:p>
        </w:tc>
      </w:tr>
      <w:tr w:rsidR="003E40C0" w:rsidRPr="005E0499" w14:paraId="407FFF99" w14:textId="77777777" w:rsidTr="00A23301">
        <w:trPr>
          <w:trHeight w:val="262"/>
        </w:trPr>
        <w:tc>
          <w:tcPr>
            <w:tcW w:w="1589" w:type="dxa"/>
            <w:tcBorders>
              <w:top w:val="single" w:sz="4" w:space="0" w:color="000000"/>
              <w:left w:val="single" w:sz="4" w:space="0" w:color="000000"/>
              <w:bottom w:val="single" w:sz="4" w:space="0" w:color="000000"/>
              <w:right w:val="single" w:sz="4" w:space="0" w:color="000000"/>
            </w:tcBorders>
            <w:vAlign w:val="center"/>
          </w:tcPr>
          <w:p w14:paraId="4B6A9431" w14:textId="77777777" w:rsidR="003E40C0" w:rsidRPr="005E0499" w:rsidRDefault="003E40C0" w:rsidP="00A23301">
            <w:pPr>
              <w:pBdr>
                <w:top w:val="nil"/>
                <w:left w:val="nil"/>
                <w:bottom w:val="nil"/>
                <w:right w:val="nil"/>
                <w:between w:val="nil"/>
              </w:pBdr>
              <w:spacing w:before="120" w:after="120" w:line="276" w:lineRule="auto"/>
              <w:jc w:val="center"/>
            </w:pPr>
            <w:r>
              <w:t>25%</w:t>
            </w:r>
          </w:p>
        </w:tc>
        <w:tc>
          <w:tcPr>
            <w:tcW w:w="6871" w:type="dxa"/>
            <w:tcBorders>
              <w:top w:val="single" w:sz="4" w:space="0" w:color="000000"/>
              <w:left w:val="single" w:sz="4" w:space="0" w:color="000000"/>
              <w:bottom w:val="single" w:sz="4" w:space="0" w:color="000000"/>
              <w:right w:val="single" w:sz="4" w:space="0" w:color="000000"/>
            </w:tcBorders>
          </w:tcPr>
          <w:p w14:paraId="52C3E6F4" w14:textId="77777777" w:rsidR="003E40C0" w:rsidRPr="005E0499" w:rsidRDefault="003E40C0" w:rsidP="00A23301">
            <w:pPr>
              <w:pBdr>
                <w:top w:val="nil"/>
                <w:left w:val="nil"/>
                <w:bottom w:val="nil"/>
                <w:right w:val="nil"/>
                <w:between w:val="nil"/>
              </w:pBdr>
              <w:spacing w:before="120" w:after="120" w:line="276" w:lineRule="auto"/>
            </w:pPr>
            <w:r>
              <w:t>Informe 1: Plan de trabajo</w:t>
            </w:r>
          </w:p>
        </w:tc>
      </w:tr>
      <w:tr w:rsidR="003E40C0" w:rsidRPr="005E0499" w14:paraId="5D7FF144" w14:textId="77777777" w:rsidTr="00A23301">
        <w:trPr>
          <w:trHeight w:val="262"/>
        </w:trPr>
        <w:tc>
          <w:tcPr>
            <w:tcW w:w="1589" w:type="dxa"/>
            <w:tcBorders>
              <w:top w:val="single" w:sz="4" w:space="0" w:color="000000"/>
              <w:left w:val="single" w:sz="4" w:space="0" w:color="000000"/>
              <w:bottom w:val="single" w:sz="4" w:space="0" w:color="000000"/>
              <w:right w:val="single" w:sz="4" w:space="0" w:color="000000"/>
            </w:tcBorders>
            <w:vAlign w:val="center"/>
          </w:tcPr>
          <w:p w14:paraId="097D6C13" w14:textId="77777777" w:rsidR="003E40C0" w:rsidRPr="005E0499" w:rsidRDefault="003E40C0" w:rsidP="00A23301">
            <w:pPr>
              <w:pBdr>
                <w:top w:val="nil"/>
                <w:left w:val="nil"/>
                <w:bottom w:val="nil"/>
                <w:right w:val="nil"/>
                <w:between w:val="nil"/>
              </w:pBdr>
              <w:spacing w:before="120" w:after="120" w:line="276" w:lineRule="auto"/>
              <w:jc w:val="center"/>
            </w:pPr>
            <w:r>
              <w:t>35%</w:t>
            </w:r>
          </w:p>
        </w:tc>
        <w:tc>
          <w:tcPr>
            <w:tcW w:w="6871" w:type="dxa"/>
            <w:tcBorders>
              <w:top w:val="single" w:sz="4" w:space="0" w:color="000000"/>
              <w:left w:val="single" w:sz="4" w:space="0" w:color="000000"/>
              <w:bottom w:val="single" w:sz="4" w:space="0" w:color="000000"/>
              <w:right w:val="single" w:sz="4" w:space="0" w:color="000000"/>
            </w:tcBorders>
          </w:tcPr>
          <w:p w14:paraId="2BA7C010" w14:textId="77777777" w:rsidR="003E40C0" w:rsidRPr="005E0499" w:rsidRDefault="003E40C0" w:rsidP="00A23301">
            <w:pPr>
              <w:pBdr>
                <w:top w:val="nil"/>
                <w:left w:val="nil"/>
                <w:bottom w:val="nil"/>
                <w:right w:val="nil"/>
                <w:between w:val="nil"/>
              </w:pBdr>
              <w:spacing w:before="120" w:after="120" w:line="276" w:lineRule="auto"/>
            </w:pPr>
            <w:r w:rsidRPr="005E0499">
              <w:t>Informe 2</w:t>
            </w:r>
            <w:r>
              <w:t xml:space="preserve">: </w:t>
            </w:r>
            <w:r w:rsidRPr="00CD49A4">
              <w:t>Diseño Metodológico de Análisis de Cuenca y Elaboración del balance hídrico actual (a partir de los estudios de oferta y demanda hídrica y la construcción del modelo de simulación).</w:t>
            </w:r>
          </w:p>
        </w:tc>
      </w:tr>
      <w:tr w:rsidR="003E40C0" w:rsidRPr="005E0499" w14:paraId="3AD08AEE" w14:textId="77777777" w:rsidTr="00A23301">
        <w:trPr>
          <w:trHeight w:val="227"/>
        </w:trPr>
        <w:tc>
          <w:tcPr>
            <w:tcW w:w="1589" w:type="dxa"/>
            <w:tcBorders>
              <w:top w:val="single" w:sz="4" w:space="0" w:color="000000"/>
              <w:left w:val="single" w:sz="4" w:space="0" w:color="000000"/>
              <w:bottom w:val="single" w:sz="4" w:space="0" w:color="000000"/>
              <w:right w:val="single" w:sz="4" w:space="0" w:color="000000"/>
            </w:tcBorders>
            <w:vAlign w:val="center"/>
          </w:tcPr>
          <w:p w14:paraId="1057942C" w14:textId="77777777" w:rsidR="003E40C0" w:rsidRPr="005E0499" w:rsidRDefault="003E40C0" w:rsidP="00A23301">
            <w:pPr>
              <w:pBdr>
                <w:top w:val="nil"/>
                <w:left w:val="nil"/>
                <w:bottom w:val="nil"/>
                <w:right w:val="nil"/>
                <w:between w:val="nil"/>
              </w:pBdr>
              <w:spacing w:before="120" w:after="120" w:line="276" w:lineRule="auto"/>
              <w:jc w:val="center"/>
            </w:pPr>
            <w:r w:rsidRPr="005E0499">
              <w:t xml:space="preserve">20% </w:t>
            </w:r>
          </w:p>
        </w:tc>
        <w:tc>
          <w:tcPr>
            <w:tcW w:w="6871" w:type="dxa"/>
            <w:tcBorders>
              <w:top w:val="single" w:sz="4" w:space="0" w:color="000000"/>
              <w:left w:val="single" w:sz="4" w:space="0" w:color="000000"/>
              <w:bottom w:val="single" w:sz="4" w:space="0" w:color="000000"/>
              <w:right w:val="single" w:sz="4" w:space="0" w:color="000000"/>
            </w:tcBorders>
          </w:tcPr>
          <w:p w14:paraId="0ADC26FE" w14:textId="77777777" w:rsidR="003E40C0" w:rsidRPr="005E0499" w:rsidRDefault="003E40C0" w:rsidP="00A23301">
            <w:pPr>
              <w:pBdr>
                <w:top w:val="nil"/>
                <w:left w:val="nil"/>
                <w:bottom w:val="nil"/>
                <w:right w:val="nil"/>
                <w:between w:val="nil"/>
              </w:pBdr>
              <w:spacing w:before="120" w:after="120" w:line="276" w:lineRule="auto"/>
              <w:jc w:val="both"/>
            </w:pPr>
            <w:r w:rsidRPr="005E0499">
              <w:t>Informe 3</w:t>
            </w:r>
            <w:r>
              <w:t xml:space="preserve">: </w:t>
            </w:r>
            <w:r w:rsidRPr="00CD49A4">
              <w:t>Elaboración del balance hídrico proyectado, considerando escenarios futuros de cambio climático.</w:t>
            </w:r>
          </w:p>
        </w:tc>
      </w:tr>
      <w:tr w:rsidR="003E40C0" w:rsidRPr="005E0499" w14:paraId="633D920C" w14:textId="77777777" w:rsidTr="00A23301">
        <w:trPr>
          <w:trHeight w:val="227"/>
        </w:trPr>
        <w:tc>
          <w:tcPr>
            <w:tcW w:w="1589" w:type="dxa"/>
            <w:tcBorders>
              <w:top w:val="single" w:sz="4" w:space="0" w:color="000000"/>
              <w:left w:val="single" w:sz="4" w:space="0" w:color="000000"/>
              <w:bottom w:val="single" w:sz="4" w:space="0" w:color="000000"/>
              <w:right w:val="single" w:sz="4" w:space="0" w:color="000000"/>
            </w:tcBorders>
            <w:vAlign w:val="center"/>
          </w:tcPr>
          <w:p w14:paraId="6D6EB030" w14:textId="77777777" w:rsidR="003E40C0" w:rsidRPr="005E0499" w:rsidRDefault="003E40C0" w:rsidP="00A23301">
            <w:pPr>
              <w:pBdr>
                <w:top w:val="nil"/>
                <w:left w:val="nil"/>
                <w:bottom w:val="nil"/>
                <w:right w:val="nil"/>
                <w:between w:val="nil"/>
              </w:pBdr>
              <w:spacing w:before="120" w:after="120" w:line="276" w:lineRule="auto"/>
              <w:jc w:val="center"/>
            </w:pPr>
            <w:r>
              <w:t>2</w:t>
            </w:r>
            <w:r w:rsidRPr="005E0499">
              <w:t xml:space="preserve">0% </w:t>
            </w:r>
          </w:p>
        </w:tc>
        <w:tc>
          <w:tcPr>
            <w:tcW w:w="6871" w:type="dxa"/>
            <w:tcBorders>
              <w:top w:val="single" w:sz="4" w:space="0" w:color="000000"/>
              <w:left w:val="single" w:sz="4" w:space="0" w:color="000000"/>
              <w:bottom w:val="single" w:sz="4" w:space="0" w:color="000000"/>
              <w:right w:val="single" w:sz="4" w:space="0" w:color="000000"/>
            </w:tcBorders>
          </w:tcPr>
          <w:p w14:paraId="4A6A1893" w14:textId="77777777" w:rsidR="003E40C0" w:rsidRPr="005E0499" w:rsidRDefault="003E40C0" w:rsidP="00A23301">
            <w:pPr>
              <w:pBdr>
                <w:top w:val="nil"/>
                <w:left w:val="nil"/>
                <w:bottom w:val="nil"/>
                <w:right w:val="nil"/>
                <w:between w:val="nil"/>
              </w:pBdr>
              <w:spacing w:before="120" w:after="120" w:line="276" w:lineRule="auto"/>
              <w:jc w:val="both"/>
            </w:pPr>
            <w:r w:rsidRPr="005E0499">
              <w:t>Informe 4</w:t>
            </w:r>
            <w:r>
              <w:t xml:space="preserve">: </w:t>
            </w:r>
            <w:r w:rsidRPr="00CD49A4">
              <w:t>Informe Final de capacidad hídrica de las cuencas donde se desarrollen Proyectos de Inversión Pública de “modernización de irrigación y drenaje para el sector agropecuario” del PROSAP V, considerando escenarios futuros de cambio climático.</w:t>
            </w:r>
          </w:p>
        </w:tc>
      </w:tr>
    </w:tbl>
    <w:p w14:paraId="4C18BD9C" w14:textId="77777777" w:rsidR="003E40C0" w:rsidRDefault="003E40C0" w:rsidP="003E40C0">
      <w:pPr>
        <w:pBdr>
          <w:top w:val="nil"/>
          <w:left w:val="nil"/>
          <w:bottom w:val="nil"/>
          <w:right w:val="nil"/>
          <w:between w:val="nil"/>
        </w:pBdr>
        <w:jc w:val="both"/>
      </w:pPr>
      <w:bookmarkStart w:id="12" w:name="_heading=h.2xcytpi" w:colFirst="0" w:colLast="0"/>
      <w:bookmarkStart w:id="13" w:name="_heading=h.26in1rg" w:colFirst="0" w:colLast="0"/>
      <w:bookmarkEnd w:id="12"/>
      <w:bookmarkEnd w:id="13"/>
    </w:p>
    <w:sectPr w:rsidR="003E40C0">
      <w:headerReference w:type="even" r:id="rId18"/>
      <w:headerReference w:type="default" r:id="rId19"/>
      <w:footerReference w:type="even" r:id="rId20"/>
      <w:footerReference w:type="default" r:id="rId21"/>
      <w:headerReference w:type="first" r:id="rId22"/>
      <w:footerReference w:type="first" r:id="rId23"/>
      <w:pgSz w:w="11907" w:h="16840"/>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BC22C" w14:textId="77777777" w:rsidR="00463054" w:rsidRDefault="00463054">
      <w:r>
        <w:separator/>
      </w:r>
    </w:p>
  </w:endnote>
  <w:endnote w:type="continuationSeparator" w:id="0">
    <w:p w14:paraId="56FA9A63" w14:textId="77777777" w:rsidR="00463054" w:rsidRDefault="00463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CA370" w14:textId="77777777" w:rsidR="00D761FB" w:rsidRDefault="00D761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FE89A" w14:textId="77777777" w:rsidR="00D761FB" w:rsidRDefault="00D761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53B01" w14:textId="77777777" w:rsidR="00D761FB" w:rsidRDefault="00D761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66DB1" w14:textId="77777777" w:rsidR="00463054" w:rsidRDefault="00463054">
      <w:r>
        <w:separator/>
      </w:r>
    </w:p>
  </w:footnote>
  <w:footnote w:type="continuationSeparator" w:id="0">
    <w:p w14:paraId="6EF9E4B5" w14:textId="77777777" w:rsidR="00463054" w:rsidRDefault="00463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1892B" w14:textId="77777777" w:rsidR="00D761FB" w:rsidRDefault="00D761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4503" w14:textId="50D7B104" w:rsidR="00D761FB" w:rsidRDefault="00D761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52FD5" w14:textId="77777777" w:rsidR="00D761FB" w:rsidRDefault="00D761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116258"/>
    <w:multiLevelType w:val="multilevel"/>
    <w:tmpl w:val="2234A0F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num w:numId="1" w16cid:durableId="1814978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CA7"/>
    <w:rsid w:val="00032422"/>
    <w:rsid w:val="0003493A"/>
    <w:rsid w:val="00050DB5"/>
    <w:rsid w:val="00064AD6"/>
    <w:rsid w:val="000C118D"/>
    <w:rsid w:val="00195118"/>
    <w:rsid w:val="001C1EA2"/>
    <w:rsid w:val="001F2366"/>
    <w:rsid w:val="00201995"/>
    <w:rsid w:val="002044D9"/>
    <w:rsid w:val="00214F77"/>
    <w:rsid w:val="00360ACB"/>
    <w:rsid w:val="003800C7"/>
    <w:rsid w:val="003E2C20"/>
    <w:rsid w:val="003E40C0"/>
    <w:rsid w:val="003F5CA1"/>
    <w:rsid w:val="004003E8"/>
    <w:rsid w:val="00423E38"/>
    <w:rsid w:val="00463054"/>
    <w:rsid w:val="004A3654"/>
    <w:rsid w:val="004C0B86"/>
    <w:rsid w:val="004D51F3"/>
    <w:rsid w:val="0051231A"/>
    <w:rsid w:val="0052634A"/>
    <w:rsid w:val="00544F2D"/>
    <w:rsid w:val="00546C8D"/>
    <w:rsid w:val="00556C08"/>
    <w:rsid w:val="005673D5"/>
    <w:rsid w:val="0056772C"/>
    <w:rsid w:val="005B434A"/>
    <w:rsid w:val="006071D7"/>
    <w:rsid w:val="00637714"/>
    <w:rsid w:val="006C3B20"/>
    <w:rsid w:val="007001EE"/>
    <w:rsid w:val="0078460F"/>
    <w:rsid w:val="008171F3"/>
    <w:rsid w:val="008577C4"/>
    <w:rsid w:val="00891E3C"/>
    <w:rsid w:val="00897ECF"/>
    <w:rsid w:val="008C7908"/>
    <w:rsid w:val="00901303"/>
    <w:rsid w:val="0090355D"/>
    <w:rsid w:val="0090501E"/>
    <w:rsid w:val="00913640"/>
    <w:rsid w:val="00A01BC8"/>
    <w:rsid w:val="00A15B62"/>
    <w:rsid w:val="00A37CA7"/>
    <w:rsid w:val="00A438EB"/>
    <w:rsid w:val="00A838F0"/>
    <w:rsid w:val="00A83D94"/>
    <w:rsid w:val="00AD6E3D"/>
    <w:rsid w:val="00AE7268"/>
    <w:rsid w:val="00B17BF0"/>
    <w:rsid w:val="00B24F99"/>
    <w:rsid w:val="00B27293"/>
    <w:rsid w:val="00B747D9"/>
    <w:rsid w:val="00BC02E9"/>
    <w:rsid w:val="00BF0B50"/>
    <w:rsid w:val="00BF5CD3"/>
    <w:rsid w:val="00C27587"/>
    <w:rsid w:val="00C42B39"/>
    <w:rsid w:val="00C439C0"/>
    <w:rsid w:val="00C90263"/>
    <w:rsid w:val="00C94EA8"/>
    <w:rsid w:val="00CA1817"/>
    <w:rsid w:val="00CA7C9E"/>
    <w:rsid w:val="00CC2EF7"/>
    <w:rsid w:val="00CD2A27"/>
    <w:rsid w:val="00CD36BB"/>
    <w:rsid w:val="00CD4904"/>
    <w:rsid w:val="00CE0491"/>
    <w:rsid w:val="00D761FB"/>
    <w:rsid w:val="00DE327F"/>
    <w:rsid w:val="00E277C5"/>
    <w:rsid w:val="00E82ED1"/>
    <w:rsid w:val="00E90C6D"/>
    <w:rsid w:val="00ED4D33"/>
    <w:rsid w:val="00F45D9C"/>
    <w:rsid w:val="00F74266"/>
    <w:rsid w:val="0506207C"/>
    <w:rsid w:val="08202347"/>
    <w:rsid w:val="19427AB5"/>
    <w:rsid w:val="1ACBE1A0"/>
    <w:rsid w:val="2C944FB1"/>
    <w:rsid w:val="427E340D"/>
    <w:rsid w:val="4C7BC12C"/>
    <w:rsid w:val="672BA23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5532EBCC"/>
  <w14:defaultImageDpi w14:val="0"/>
  <w15:docId w15:val="{84C41C21-C044-464C-B5FF-039415546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0"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Arial" w:hAnsi="Arial" w:cs="Arial"/>
      <w:color w:val="000000"/>
      <w:sz w:val="24"/>
      <w:szCs w:val="24"/>
      <w:lang w:val="es-MX"/>
    </w:rPr>
  </w:style>
  <w:style w:type="paragraph" w:styleId="Heading1">
    <w:name w:val="heading 1"/>
    <w:basedOn w:val="Normal"/>
    <w:next w:val="Normal"/>
    <w:link w:val="Heading1Char"/>
    <w:qFormat/>
    <w:pPr>
      <w:outlineLvl w:val="0"/>
    </w:pPr>
    <w:rPr>
      <w:b/>
      <w:bCs/>
      <w:sz w:val="32"/>
      <w:szCs w:val="32"/>
    </w:rPr>
  </w:style>
  <w:style w:type="paragraph" w:styleId="Heading2">
    <w:name w:val="heading 2"/>
    <w:basedOn w:val="Normal"/>
    <w:next w:val="Normal"/>
    <w:link w:val="Heading2Char"/>
    <w:uiPriority w:val="99"/>
    <w:qFormat/>
    <w:pPr>
      <w:outlineLvl w:val="1"/>
    </w:pPr>
    <w:rPr>
      <w:b/>
      <w:bCs/>
      <w:i/>
      <w:iCs/>
      <w:sz w:val="28"/>
      <w:szCs w:val="28"/>
    </w:rPr>
  </w:style>
  <w:style w:type="paragraph" w:styleId="Heading3">
    <w:name w:val="heading 3"/>
    <w:basedOn w:val="Normal"/>
    <w:next w:val="Normal"/>
    <w:link w:val="Heading3Char"/>
    <w:uiPriority w:val="99"/>
    <w:qFormat/>
    <w:pPr>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paragraph" w:styleId="BalloonText">
    <w:name w:val="Balloon Text"/>
    <w:basedOn w:val="Normal"/>
    <w:link w:val="BalloonTextChar"/>
    <w:uiPriority w:val="99"/>
    <w:semiHidden/>
    <w:unhideWhenUsed/>
    <w:rsid w:val="00901303"/>
    <w:rPr>
      <w:rFonts w:ascii="Tahoma" w:hAnsi="Tahoma" w:cs="Tahoma"/>
      <w:sz w:val="16"/>
      <w:szCs w:val="16"/>
    </w:rPr>
  </w:style>
  <w:style w:type="character" w:customStyle="1" w:styleId="BalloonTextChar">
    <w:name w:val="Balloon Text Char"/>
    <w:basedOn w:val="DefaultParagraphFont"/>
    <w:link w:val="BalloonText"/>
    <w:uiPriority w:val="99"/>
    <w:semiHidden/>
    <w:rsid w:val="00901303"/>
    <w:rPr>
      <w:rFonts w:ascii="Tahoma" w:hAnsi="Tahoma" w:cs="Tahoma"/>
      <w:color w:val="000000"/>
      <w:sz w:val="16"/>
      <w:szCs w:val="16"/>
    </w:rPr>
  </w:style>
  <w:style w:type="character" w:styleId="Hyperlink">
    <w:name w:val="Hyperlink"/>
    <w:basedOn w:val="DefaultParagraphFont"/>
    <w:uiPriority w:val="99"/>
    <w:unhideWhenUsed/>
    <w:rsid w:val="00ED4D33"/>
    <w:rPr>
      <w:color w:val="0000FF" w:themeColor="hyperlink"/>
      <w:u w:val="single"/>
    </w:rPr>
  </w:style>
  <w:style w:type="paragraph" w:styleId="Header">
    <w:name w:val="header"/>
    <w:basedOn w:val="Normal"/>
    <w:link w:val="HeaderChar"/>
    <w:uiPriority w:val="99"/>
    <w:unhideWhenUsed/>
    <w:rsid w:val="0056772C"/>
    <w:pPr>
      <w:tabs>
        <w:tab w:val="center" w:pos="4680"/>
        <w:tab w:val="right" w:pos="9360"/>
      </w:tabs>
    </w:pPr>
  </w:style>
  <w:style w:type="character" w:customStyle="1" w:styleId="HeaderChar">
    <w:name w:val="Header Char"/>
    <w:basedOn w:val="DefaultParagraphFont"/>
    <w:link w:val="Header"/>
    <w:uiPriority w:val="99"/>
    <w:rsid w:val="0056772C"/>
    <w:rPr>
      <w:rFonts w:ascii="Arial" w:hAnsi="Arial" w:cs="Arial"/>
      <w:color w:val="000000"/>
      <w:sz w:val="24"/>
      <w:szCs w:val="24"/>
    </w:rPr>
  </w:style>
  <w:style w:type="paragraph" w:styleId="Footer">
    <w:name w:val="footer"/>
    <w:basedOn w:val="Normal"/>
    <w:link w:val="FooterChar"/>
    <w:uiPriority w:val="99"/>
    <w:unhideWhenUsed/>
    <w:rsid w:val="0056772C"/>
    <w:pPr>
      <w:tabs>
        <w:tab w:val="center" w:pos="4680"/>
        <w:tab w:val="right" w:pos="9360"/>
      </w:tabs>
    </w:pPr>
  </w:style>
  <w:style w:type="character" w:customStyle="1" w:styleId="FooterChar">
    <w:name w:val="Footer Char"/>
    <w:basedOn w:val="DefaultParagraphFont"/>
    <w:link w:val="Footer"/>
    <w:uiPriority w:val="99"/>
    <w:rsid w:val="0056772C"/>
    <w:rPr>
      <w:rFonts w:ascii="Arial" w:hAnsi="Arial" w:cs="Arial"/>
      <w:color w:val="000000"/>
      <w:sz w:val="24"/>
      <w:szCs w:val="24"/>
    </w:rPr>
  </w:style>
  <w:style w:type="character" w:styleId="FollowedHyperlink">
    <w:name w:val="FollowedHyperlink"/>
    <w:basedOn w:val="DefaultParagraphFont"/>
    <w:uiPriority w:val="99"/>
    <w:semiHidden/>
    <w:unhideWhenUsed/>
    <w:rsid w:val="00F74266"/>
    <w:rPr>
      <w:color w:val="800080" w:themeColor="followedHyperlink"/>
      <w:u w:val="single"/>
    </w:rPr>
  </w:style>
  <w:style w:type="paragraph" w:customStyle="1" w:styleId="Heading1a">
    <w:name w:val="Heading 1a"/>
    <w:rsid w:val="006C3B20"/>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lang w:val="es-MX" w:eastAsia="en-US"/>
    </w:rPr>
  </w:style>
  <w:style w:type="paragraph" w:styleId="BodyText">
    <w:name w:val="Body Text"/>
    <w:basedOn w:val="Normal"/>
    <w:link w:val="BodyTextChar"/>
    <w:semiHidden/>
    <w:rsid w:val="006C3B20"/>
    <w:pPr>
      <w:widowControl/>
      <w:suppressAutoHyphens/>
      <w:autoSpaceDE/>
      <w:autoSpaceDN/>
      <w:adjustRightInd/>
    </w:pPr>
    <w:rPr>
      <w:rFonts w:ascii="CG Times" w:eastAsia="Times New Roman" w:hAnsi="CG Times" w:cs="Times New Roman"/>
      <w:color w:val="auto"/>
      <w:spacing w:val="-2"/>
      <w:szCs w:val="20"/>
      <w:lang w:eastAsia="en-US"/>
    </w:rPr>
  </w:style>
  <w:style w:type="character" w:customStyle="1" w:styleId="BodyTextChar">
    <w:name w:val="Body Text Char"/>
    <w:basedOn w:val="DefaultParagraphFont"/>
    <w:link w:val="BodyText"/>
    <w:semiHidden/>
    <w:rsid w:val="006C3B20"/>
    <w:rPr>
      <w:rFonts w:ascii="CG Times" w:eastAsia="Times New Roman" w:hAnsi="CG Times" w:cs="Times New Roman"/>
      <w:spacing w:val="-2"/>
      <w:sz w:val="24"/>
      <w:szCs w:val="20"/>
      <w:lang w:val="es-MX" w:eastAsia="en-US"/>
    </w:rPr>
  </w:style>
  <w:style w:type="character" w:styleId="CommentReference">
    <w:name w:val="annotation reference"/>
    <w:basedOn w:val="DefaultParagraphFont"/>
    <w:uiPriority w:val="99"/>
    <w:semiHidden/>
    <w:unhideWhenUsed/>
    <w:rsid w:val="004003E8"/>
    <w:rPr>
      <w:sz w:val="16"/>
      <w:szCs w:val="16"/>
    </w:rPr>
  </w:style>
  <w:style w:type="paragraph" w:styleId="CommentText">
    <w:name w:val="annotation text"/>
    <w:basedOn w:val="Normal"/>
    <w:link w:val="CommentTextChar"/>
    <w:uiPriority w:val="99"/>
    <w:semiHidden/>
    <w:unhideWhenUsed/>
    <w:rsid w:val="004003E8"/>
    <w:rPr>
      <w:sz w:val="20"/>
      <w:szCs w:val="20"/>
    </w:rPr>
  </w:style>
  <w:style w:type="character" w:customStyle="1" w:styleId="CommentTextChar">
    <w:name w:val="Comment Text Char"/>
    <w:basedOn w:val="DefaultParagraphFont"/>
    <w:link w:val="CommentText"/>
    <w:uiPriority w:val="99"/>
    <w:semiHidden/>
    <w:rsid w:val="004003E8"/>
    <w:rPr>
      <w:rFonts w:ascii="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4003E8"/>
    <w:rPr>
      <w:b/>
      <w:bCs/>
    </w:rPr>
  </w:style>
  <w:style w:type="character" w:customStyle="1" w:styleId="CommentSubjectChar">
    <w:name w:val="Comment Subject Char"/>
    <w:basedOn w:val="CommentTextChar"/>
    <w:link w:val="CommentSubject"/>
    <w:uiPriority w:val="99"/>
    <w:semiHidden/>
    <w:rsid w:val="004003E8"/>
    <w:rPr>
      <w:rFonts w:ascii="Arial" w:hAnsi="Arial" w:cs="Arial"/>
      <w:b/>
      <w:bCs/>
      <w:color w:val="000000"/>
      <w:sz w:val="20"/>
      <w:szCs w:val="20"/>
    </w:rPr>
  </w:style>
  <w:style w:type="paragraph" w:styleId="NormalWeb">
    <w:name w:val="Normal (Web)"/>
    <w:basedOn w:val="Normal"/>
    <w:uiPriority w:val="99"/>
    <w:semiHidden/>
    <w:unhideWhenUsed/>
    <w:rsid w:val="00A83D94"/>
    <w:pPr>
      <w:widowControl/>
      <w:autoSpaceDE/>
      <w:autoSpaceDN/>
      <w:adjustRightInd/>
      <w:spacing w:before="100" w:beforeAutospacing="1" w:after="100" w:afterAutospacing="1"/>
    </w:pPr>
    <w:rPr>
      <w:rFonts w:ascii="Times New Roman" w:eastAsia="Times New Roman" w:hAnsi="Times New Roman" w:cs="Times New Roman"/>
      <w:color w:val="auto"/>
      <w:lang w:val="en-US" w:eastAsia="en-US"/>
    </w:rPr>
  </w:style>
  <w:style w:type="paragraph" w:styleId="BodyTextIndent3">
    <w:name w:val="Body Text Indent 3"/>
    <w:basedOn w:val="Normal"/>
    <w:link w:val="BodyTextIndent3Char"/>
    <w:uiPriority w:val="99"/>
    <w:semiHidden/>
    <w:unhideWhenUsed/>
    <w:rsid w:val="003E40C0"/>
    <w:pPr>
      <w:widowControl/>
      <w:autoSpaceDE/>
      <w:autoSpaceDN/>
      <w:adjustRightInd/>
      <w:spacing w:after="120" w:line="259" w:lineRule="auto"/>
      <w:ind w:left="360"/>
    </w:pPr>
    <w:rPr>
      <w:rFonts w:ascii="Calibri" w:eastAsia="Calibri" w:hAnsi="Calibri" w:cs="Calibri"/>
      <w:color w:val="auto"/>
      <w:sz w:val="16"/>
      <w:szCs w:val="16"/>
      <w:lang w:val="es-AR"/>
    </w:rPr>
  </w:style>
  <w:style w:type="character" w:customStyle="1" w:styleId="BodyTextIndent3Char">
    <w:name w:val="Body Text Indent 3 Char"/>
    <w:basedOn w:val="DefaultParagraphFont"/>
    <w:link w:val="BodyTextIndent3"/>
    <w:uiPriority w:val="99"/>
    <w:semiHidden/>
    <w:rsid w:val="003E40C0"/>
    <w:rPr>
      <w:rFonts w:ascii="Calibri" w:eastAsia="Calibri" w:hAnsi="Calibri" w:cs="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004654">
      <w:bodyDiv w:val="1"/>
      <w:marLeft w:val="0"/>
      <w:marRight w:val="0"/>
      <w:marTop w:val="0"/>
      <w:marBottom w:val="0"/>
      <w:divBdr>
        <w:top w:val="none" w:sz="0" w:space="0" w:color="auto"/>
        <w:left w:val="none" w:sz="0" w:space="0" w:color="auto"/>
        <w:bottom w:val="none" w:sz="0" w:space="0" w:color="auto"/>
        <w:right w:val="none" w:sz="0" w:space="0" w:color="auto"/>
      </w:divBdr>
    </w:div>
    <w:div w:id="58715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26" Type="http://schemas.openxmlformats.org/officeDocument/2006/relationships/customXml" Target="../customXml/item1.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iadb.org" TargetMode="External"/><Relationship Id="rId25" Type="http://schemas.openxmlformats.org/officeDocument/2006/relationships/theme" Target="theme/theme1.xml"/><Relationship Id="rId16" Type="http://schemas.openxmlformats.org/officeDocument/2006/relationships/hyperlink" Target="http://www.iadb.org/document.cfm?id=38988613" TargetMode="External"/><Relationship Id="rId20" Type="http://schemas.openxmlformats.org/officeDocument/2006/relationships/footer" Target="footer1.xml"/><Relationship Id="rId29" Type="http://schemas.openxmlformats.org/officeDocument/2006/relationships/customXml" Target="../customXml/item4.xml"/><Relationship Id="rId11" Type="http://schemas.openxmlformats.org/officeDocument/2006/relationships/footnotes" Target="footnotes.xml"/><Relationship Id="rId24" Type="http://schemas.openxmlformats.org/officeDocument/2006/relationships/fontTable" Target="fontTable.xml"/><Relationship Id="rId15" Type="http://schemas.openxmlformats.org/officeDocument/2006/relationships/hyperlink" Target="http://beo-procurement.iadb.org/home" TargetMode="External"/><Relationship Id="rId23" Type="http://schemas.openxmlformats.org/officeDocument/2006/relationships/footer" Target="footer3.xml"/><Relationship Id="rId28" Type="http://schemas.openxmlformats.org/officeDocument/2006/relationships/customXml" Target="../customXml/item3.xml"/><Relationship Id="rId10" Type="http://schemas.openxmlformats.org/officeDocument/2006/relationships/webSettings" Target="webSettings.xml"/><Relationship Id="rId19" Type="http://schemas.openxmlformats.org/officeDocument/2006/relationships/header" Target="header2.xml"/><Relationship Id="rId31" Type="http://schemas.openxmlformats.org/officeDocument/2006/relationships/customXml" Target="../customXml/item6.xml"/><Relationship Id="rId9" Type="http://schemas.openxmlformats.org/officeDocument/2006/relationships/settings" Target="settings.xml"/><Relationship Id="rId14" Type="http://schemas.openxmlformats.org/officeDocument/2006/relationships/hyperlink" Target="https://www.iadb.org/en/whats-our-impact/AR-T1275" TargetMode="External"/><Relationship Id="rId22" Type="http://schemas.openxmlformats.org/officeDocument/2006/relationships/header" Target="header3.xml"/><Relationship Id="rId27" Type="http://schemas.openxmlformats.org/officeDocument/2006/relationships/customXml" Target="../customXml/item2.xml"/><Relationship Id="rId30"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z-Disclosure Operations" ma:contentTypeID="0x0101001A458A224826124E8B45B1D613300CFC00CABBE6DC3583A6409EBD22AE7F55B323" ma:contentTypeVersion="1776" ma:contentTypeDescription="A content type to manage public (operations) IDB documents" ma:contentTypeScope="" ma:versionID="116888bfbfa2d2bd3b4555de6e534a74">
  <xsd:schema xmlns:xsd="http://www.w3.org/2001/XMLSchema" xmlns:xs="http://www.w3.org/2001/XMLSchema" xmlns:p="http://schemas.microsoft.com/office/2006/metadata/properties" xmlns:ns2="cdc7663a-08f0-4737-9e8c-148ce897a09c" targetNamespace="http://schemas.microsoft.com/office/2006/metadata/properties" ma:root="true" ma:fieldsID="2e64ed62e8b7ed3c8d9d948ae628f62f" ns2:_="">
    <xsd:import namespace="cdc7663a-08f0-4737-9e8c-148ce897a09c"/>
    <xsd:element name="properties">
      <xsd:complexType>
        <xsd:sequence>
          <xsd:element name="documentManagement">
            <xsd:complexType>
              <xsd:all>
                <xsd:element ref="ns2:_dlc_DocId" minOccurs="0"/>
                <xsd:element ref="ns2:_dlc_DocIdUrl" minOccurs="0"/>
                <xsd:element ref="ns2:_dlc_DocIdPersistId" minOccurs="0"/>
                <xsd:element ref="ns2:e46fe2894295491da65140ffd2369f49" minOccurs="0"/>
                <xsd:element ref="ns2:TaxCatchAll" minOccurs="0"/>
                <xsd:element ref="ns2:TaxCatchAllLabel" minOccurs="0"/>
                <xsd:element ref="ns2:Access_x0020_to_x0020_Information_x00a0_Policy"/>
                <xsd:element ref="ns2:b26cdb1da78c4bb4b1c1bac2f6ac5911" minOccurs="0"/>
                <xsd:element ref="ns2:Project_x0020_Number"/>
                <xsd:element ref="ns2:Webtopic" minOccurs="0"/>
                <xsd:element ref="ns2:Approval_x0020_Number" minOccurs="0"/>
                <xsd:element ref="ns2:Disclosure_x0020_Activity"/>
                <xsd:element ref="ns2:Document_x0020_Author" minOccurs="0"/>
                <xsd:element ref="ns2:Other_x0020_Author" minOccurs="0"/>
                <xsd:element ref="ns2:g511464f9e53401d84b16fa9b379a574" minOccurs="0"/>
                <xsd:element ref="ns2:nddeef1749674d76abdbe4b239a70bc6" minOccurs="0"/>
                <xsd:element ref="ns2:b2ec7cfb18674cb8803df6b262e8b107" minOccurs="0"/>
                <xsd:element ref="ns2:Document_x0020_Language_x0020_IDB"/>
                <xsd:element ref="ns2:Division_x0020_or_x0020_Unit"/>
                <xsd:element ref="ns2:Identifier" minOccurs="0"/>
                <xsd:element ref="ns2:Fiscal_x0020_Year_x0020_IDB" minOccurs="0"/>
                <xsd:element ref="ns2:ic46d7e087fd4a108fb86518ca413cc6" minOccurs="0"/>
                <xsd:element ref="ns2:Operation_x0020_Type" minOccurs="0"/>
                <xsd:element ref="ns2:Package_x0020_Code" minOccurs="0"/>
                <xsd:element ref="ns2:Phase" minOccurs="0"/>
                <xsd:element ref="ns2:Business_x0020_Area" minOccurs="0"/>
                <xsd:element ref="ns2:Key_x0020_Document" minOccurs="0"/>
                <xsd:element ref="ns2:Project_x0020_Document_x0020_Type" minOccurs="0"/>
                <xsd:element ref="ns2:Abstract" minOccurs="0"/>
                <xsd:element ref="ns2:Migration_x0020_Info" minOccurs="0"/>
                <xsd:element ref="ns2:SISCOR_x0020_Number" minOccurs="0"/>
                <xsd:element ref="ns2:IDBDocs_x0020_Number" minOccurs="0"/>
                <xsd:element ref="ns2:Editor1" minOccurs="0"/>
                <xsd:element ref="ns2:Issue_x0020_Date" minOccurs="0"/>
                <xsd:element ref="ns2:Publishing_x0020_House" minOccurs="0"/>
                <xsd:element ref="ns2:KP_x0020_Topics" minOccurs="0"/>
                <xsd:element ref="ns2:Region" minOccurs="0"/>
                <xsd:element ref="ns2:Publication_x0020_Type" minOccurs="0"/>
                <xsd:element ref="ns2:Disclosed" minOccurs="0"/>
                <xsd:element ref="ns2:Record_x0020_Number" minOccurs="0"/>
                <xsd:element ref="ns2:Related_x0020_SisCor_x0020_Number" minOccurs="0"/>
                <xsd:element ref="ns2:Extracted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46fe2894295491da65140ffd2369f49" ma:index="11" nillable="true" ma:taxonomy="true" ma:internalName="e46fe2894295491da65140ffd2369f49" ma:taxonomyFieldName="Function_x0020_Operations_x0020_IDB" ma:displayName="Function Operations IDB" ma:readOnly="false" ma:default="" ma:fieldId="{e46fe289-4295-491d-a651-40ffd2369f49}" ma:sspId="ae61f9b1-e23d-4f49-b3d7-56b991556c4b" ma:termSetId="90662247-c2d7-4c02-8f80-a99fdf3aec79"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21e8572-655e-4c0d-bfdb-c52ee7bb5839}" ma:internalName="TaxCatchAll" ma:showField="CatchAllData"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21e8572-655e-4c0d-bfdb-c52ee7bb5839}" ma:internalName="TaxCatchAllLabel" ma:readOnly="true" ma:showField="CatchAllDataLabel"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Access_x0020_to_x0020_Information_x00a0_Policy" ma:index="15" ma:displayName="Access to Information Policy" ma:default="Confidential" ma:format="Dropdown" ma:internalName="Access_x0020_to_x0020_Information_x00A0_Policy">
      <xsd:simpleType>
        <xsd:restriction base="dms:Choice">
          <xsd:enumeration value="Confidential"/>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b26cdb1da78c4bb4b1c1bac2f6ac5911" ma:index="16" nillable="true" ma:taxonomy="true" ma:internalName="b26cdb1da78c4bb4b1c1bac2f6ac5911" ma:taxonomyFieldName="Series_x0020_Operations_x0020_IDB" ma:displayName="Series Operations IDB" ma:default="" ma:fieldId="{b26cdb1d-a78c-4bb4-b1c1-bac2f6ac5911}" ma:sspId="ae61f9b1-e23d-4f49-b3d7-56b991556c4b" ma:termSetId="aa8fb583-e935-416d-8a2e-4b97a8eb0684" ma:anchorId="00000000-0000-0000-0000-000000000000" ma:open="false" ma:isKeyword="false">
      <xsd:complexType>
        <xsd:sequence>
          <xsd:element ref="pc:Terms" minOccurs="0" maxOccurs="1"/>
        </xsd:sequence>
      </xsd:complexType>
    </xsd:element>
    <xsd:element name="Project_x0020_Number" ma:index="18" ma:displayName="Project Number" ma:internalName="Project_x0020_Number" ma:readOnly="false">
      <xsd:simpleType>
        <xsd:restriction base="dms:Text">
          <xsd:maxLength value="255"/>
        </xsd:restriction>
      </xsd:simpleType>
    </xsd:element>
    <xsd:element name="Webtopic" ma:index="19" nillable="true" ma:displayName="Webtopic" ma:internalName="Webtopic">
      <xsd:simpleType>
        <xsd:restriction base="dms:Text">
          <xsd:maxLength value="255"/>
        </xsd:restriction>
      </xsd:simpleType>
    </xsd:element>
    <xsd:element name="Approval_x0020_Number" ma:index="20" nillable="true" ma:displayName="Approval Number" ma:internalName="Approval_x0020_Number">
      <xsd:simpleType>
        <xsd:restriction base="dms:Text">
          <xsd:maxLength value="255"/>
        </xsd:restriction>
      </xsd:simpleType>
    </xsd:element>
    <xsd:element name="Disclosure_x0020_Activity" ma:index="21" ma:displayName="Disclosure Activity" ma:internalName="Disclosure_x0020_Activity" ma:readOnly="false">
      <xsd:simpleType>
        <xsd:restriction base="dms:Text">
          <xsd:maxLength value="255"/>
        </xsd:restriction>
      </xsd:simpleType>
    </xsd:element>
    <xsd:element name="Document_x0020_Author" ma:index="22" nillable="true" ma:displayName="Document Author" ma:internalName="Document_x0020_Author">
      <xsd:simpleType>
        <xsd:restriction base="dms:Text">
          <xsd:maxLength value="255"/>
        </xsd:restriction>
      </xsd:simpleType>
    </xsd:element>
    <xsd:element name="Other_x0020_Author" ma:index="23" nillable="true" ma:displayName="Other Author" ma:internalName="Other_x0020_Author">
      <xsd:simpleType>
        <xsd:restriction base="dms:Text">
          <xsd:maxLength value="255"/>
        </xsd:restriction>
      </xsd:simpleType>
    </xsd:element>
    <xsd:element name="g511464f9e53401d84b16fa9b379a574" ma:index="24" nillable="true" ma:taxonomy="true" ma:internalName="g511464f9e53401d84b16fa9b379a574" ma:taxonomyFieldName="Fund_x0020_IDB" ma:displayName="Fund IDB" ma:default="" ma:fieldId="{0511464f-9e53-401d-84b1-6fa9b379a574}" ma:taxonomyMulti="true" ma:sspId="ae61f9b1-e23d-4f49-b3d7-56b991556c4b" ma:termSetId="69abb71a-f64f-4893-ac0e-66eb1be268a8" ma:anchorId="00000000-0000-0000-0000-000000000000" ma:open="false" ma:isKeyword="false">
      <xsd:complexType>
        <xsd:sequence>
          <xsd:element ref="pc:Terms" minOccurs="0" maxOccurs="1"/>
        </xsd:sequence>
      </xsd:complexType>
    </xsd:element>
    <xsd:element name="nddeef1749674d76abdbe4b239a70bc6" ma:index="26" nillable="true" ma:taxonomy="true" ma:internalName="nddeef1749674d76abdbe4b239a70bc6" ma:taxonomyFieldName="Sector_x0020_IDB" ma:displayName="Sector IDB" ma:default="" ma:fieldId="{7ddeef17-4967-4d76-abdb-e4b239a70bc6}" ma:taxonomyMulti="true" ma:sspId="ae61f9b1-e23d-4f49-b3d7-56b991556c4b" ma:termSetId="12408410-0417-4253-a5ed-d52c55de15dc" ma:anchorId="00000000-0000-0000-0000-000000000000" ma:open="true" ma:isKeyword="false">
      <xsd:complexType>
        <xsd:sequence>
          <xsd:element ref="pc:Terms" minOccurs="0" maxOccurs="1"/>
        </xsd:sequence>
      </xsd:complexType>
    </xsd:element>
    <xsd:element name="b2ec7cfb18674cb8803df6b262e8b107" ma:index="28" nillable="true" ma:taxonomy="true" ma:internalName="b2ec7cfb18674cb8803df6b262e8b107" ma:taxonomyFieldName="Sub_x002d_Sector" ma:displayName="Sub-Sector" ma:default="" ma:fieldId="{b2ec7cfb-1867-4cb8-803d-f6b262e8b107}" ma:taxonomyMulti="true" ma:sspId="ae61f9b1-e23d-4f49-b3d7-56b991556c4b" ma:termSetId="73c9b9c8-b29b-461e-b5a6-c7e93795fb05" ma:anchorId="00000000-0000-0000-0000-000000000000" ma:open="false" ma:isKeyword="false">
      <xsd:complexType>
        <xsd:sequence>
          <xsd:element ref="pc:Terms" minOccurs="0" maxOccurs="1"/>
        </xsd:sequence>
      </xsd:complexType>
    </xsd:element>
    <xsd:element name="Document_x0020_Language_x0020_IDB" ma:index="30" ma:displayName="Document Language IDB" ma:format="Dropdown" ma:internalName="Document_x0020_Language_x0020_IDB" ma:readOnly="false">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Division_x0020_or_x0020_Unit" ma:index="31" ma:displayName="Division or Unit" ma:internalName="Division_x0020_or_x0020_Unit" ma:readOnly="false">
      <xsd:simpleType>
        <xsd:restriction base="dms:Text">
          <xsd:maxLength value="255"/>
        </xsd:restriction>
      </xsd:simpleType>
    </xsd:element>
    <xsd:element name="Identifier" ma:index="32" nillable="true" ma:displayName="Identifier" ma:internalName="Identifier">
      <xsd:simpleType>
        <xsd:restriction base="dms:Text">
          <xsd:maxLength value="255"/>
        </xsd:restriction>
      </xsd:simpleType>
    </xsd:element>
    <xsd:element name="Fiscal_x0020_Year_x0020_IDB" ma:index="33" nillable="true" ma:displayName="Fiscal Year IDB" ma:internalName="Fiscal_x0020_Year_x0020_IDB">
      <xsd:simpleType>
        <xsd:restriction base="dms:Text">
          <xsd:maxLength value="255"/>
        </xsd:restriction>
      </xsd:simpleType>
    </xsd:element>
    <xsd:element name="ic46d7e087fd4a108fb86518ca413cc6" ma:index="34"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Operation_x0020_Type" ma:index="36" nillable="true" ma:displayName="Operation Type" ma:internalName="Operation_x0020_Type">
      <xsd:simpleType>
        <xsd:restriction base="dms:Text">
          <xsd:maxLength value="255"/>
        </xsd:restriction>
      </xsd:simpleType>
    </xsd:element>
    <xsd:element name="Package_x0020_Code" ma:index="37" nillable="true" ma:displayName="Package Code" ma:internalName="Package_x0020_Code">
      <xsd:simpleType>
        <xsd:restriction base="dms:Text">
          <xsd:maxLength value="255"/>
        </xsd:restriction>
      </xsd:simpleType>
    </xsd:element>
    <xsd:element name="Phase" ma:index="38" nillable="true" ma:displayName="Phase" ma:internalName="Phase">
      <xsd:simpleType>
        <xsd:restriction base="dms:Text">
          <xsd:maxLength value="255"/>
        </xsd:restriction>
      </xsd:simpleType>
    </xsd:element>
    <xsd:element name="Business_x0020_Area" ma:index="39" nillable="true" ma:displayName="Business Area" ma:internalName="Business_x0020_Area">
      <xsd:simpleType>
        <xsd:restriction base="dms:Text">
          <xsd:maxLength value="255"/>
        </xsd:restriction>
      </xsd:simpleType>
    </xsd:element>
    <xsd:element name="Key_x0020_Document" ma:index="40" nillable="true" ma:displayName="Key Document" ma:default="0" ma:internalName="Key_x0020_Document">
      <xsd:simpleType>
        <xsd:restriction base="dms:Boolean"/>
      </xsd:simpleType>
    </xsd:element>
    <xsd:element name="Project_x0020_Document_x0020_Type" ma:index="41" nillable="true" ma:displayName="Project Document Type" ma:internalName="Project_x0020_Document_x0020_Type">
      <xsd:simpleType>
        <xsd:restriction base="dms:Text">
          <xsd:maxLength value="255"/>
        </xsd:restriction>
      </xsd:simpleType>
    </xsd:element>
    <xsd:element name="Abstract" ma:index="42" nillable="true" ma:displayName="Abstract" ma:internalName="Abstract">
      <xsd:simpleType>
        <xsd:restriction base="dms:Note"/>
      </xsd:simpleType>
    </xsd:element>
    <xsd:element name="Migration_x0020_Info" ma:index="43" nillable="true" ma:displayName="Migration Info" ma:internalName="Migration_x0020_Info">
      <xsd:simpleType>
        <xsd:restriction base="dms:Note"/>
      </xsd:simpleType>
    </xsd:element>
    <xsd:element name="SISCOR_x0020_Number" ma:index="44" nillable="true" ma:displayName="SISCOR Number" ma:internalName="SISCOR_x0020_Number">
      <xsd:simpleType>
        <xsd:restriction base="dms:Text">
          <xsd:maxLength value="255"/>
        </xsd:restriction>
      </xsd:simpleType>
    </xsd:element>
    <xsd:element name="IDBDocs_x0020_Number" ma:index="45" nillable="true" ma:displayName="IDBDocs Number" ma:internalName="IDBDocs_x0020_Number">
      <xsd:simpleType>
        <xsd:restriction base="dms:Text">
          <xsd:maxLength value="255"/>
        </xsd:restriction>
      </xsd:simpleType>
    </xsd:element>
    <xsd:element name="Editor1" ma:index="46" nillable="true" ma:displayName="Editor" ma:internalName="Editor1">
      <xsd:simpleType>
        <xsd:restriction base="dms:Text">
          <xsd:maxLength value="255"/>
        </xsd:restriction>
      </xsd:simpleType>
    </xsd:element>
    <xsd:element name="Issue_x0020_Date" ma:index="47" nillable="true" ma:displayName="Issue Date" ma:format="DateOnly" ma:internalName="Issue_x0020_Date">
      <xsd:simpleType>
        <xsd:restriction base="dms:DateTime"/>
      </xsd:simpleType>
    </xsd:element>
    <xsd:element name="Publishing_x0020_House" ma:index="48" nillable="true" ma:displayName="Publishing House" ma:internalName="Publishing_x0020_House">
      <xsd:simpleType>
        <xsd:restriction base="dms:Text">
          <xsd:maxLength value="255"/>
        </xsd:restriction>
      </xsd:simpleType>
    </xsd:element>
    <xsd:element name="KP_x0020_Topics" ma:index="49" nillable="true" ma:displayName="KP Topics" ma:internalName="KP_x0020_Topics">
      <xsd:simpleType>
        <xsd:restriction base="dms:Text">
          <xsd:maxLength value="255"/>
        </xsd:restriction>
      </xsd:simpleType>
    </xsd:element>
    <xsd:element name="Region" ma:index="50" nillable="true" ma:displayName="Region" ma:internalName="Region">
      <xsd:simpleType>
        <xsd:restriction base="dms:Text">
          <xsd:maxLength value="255"/>
        </xsd:restriction>
      </xsd:simpleType>
    </xsd:element>
    <xsd:element name="Publication_x0020_Type" ma:index="51" nillable="true" ma:displayName="Publication Type" ma:internalName="Publication_x0020_Type">
      <xsd:simpleType>
        <xsd:restriction base="dms:Text">
          <xsd:maxLength value="255"/>
        </xsd:restriction>
      </xsd:simpleType>
    </xsd:element>
    <xsd:element name="Disclosed" ma:index="52" nillable="true" ma:displayName="Disclosed" ma:default="0" ma:internalName="Disclosed">
      <xsd:simpleType>
        <xsd:restriction base="dms:Boolean"/>
      </xsd:simpleType>
    </xsd:element>
    <xsd:element name="Record_x0020_Number" ma:index="53" nillable="true" ma:displayName="Record Number" ma:internalName="Record_x0020_Number">
      <xsd:simpleType>
        <xsd:restriction base="dms:Text">
          <xsd:maxLength value="255"/>
        </xsd:restriction>
      </xsd:simpleType>
    </xsd:element>
    <xsd:element name="Related_x0020_SisCor_x0020_Number" ma:index="54" nillable="true" ma:displayName="Related SisCor Number" ma:internalName="Related_x0020_SisCor_x0020_Number">
      <xsd:simpleType>
        <xsd:restriction base="dms:Text">
          <xsd:maxLength value="255"/>
        </xsd:restriction>
      </xsd:simpleType>
    </xsd:element>
    <xsd:element name="Extracted_x0020_Keywords" ma:index="55" nillable="true" ma:displayName="Extracted Keywords" ma:hidden="true" ma:internalName="Extracted_x0020_Keywords" ma:readOnly="false">
      <xsd:complexType>
        <xsd:complexContent>
          <xsd:extension base="dms:MultiChoiceFillIn">
            <xsd:sequence>
              <xsd:element name="Value" maxOccurs="unbounded" minOccurs="0" nillable="true">
                <xsd:simpleType>
                  <xsd:union memberTypes="dms:Text">
                    <xsd:simpleType>
                      <xsd:restriction base="dms:Choice">
                        <xsd:enumeration value="ez"/>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ae61f9b1-e23d-4f49-b3d7-56b991556c4b" ContentTypeId="0x0101001A458A224826124E8B45B1D613300CFC"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Urls xmlns="http://schemas.microsoft.com/sharepoint/v3/contenttype/forms/url">
  <Display>_catalogs/masterpage/ECMForms/DisclosureOperationsCT/View.aspx</Display>
  <Edit>_catalogs/masterpage/ECMForms/DisclosureOperationsCT/Edit.aspx</Edit>
</FormUrls>
</file>

<file path=customXml/item6.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Public</Access_x0020_to_x0020_Information_x00a0_Policy>
    <SISCOR_x0020_Number xmlns="cdc7663a-08f0-4737-9e8c-148ce897a09c" xsi:nil="true"/>
    <b26cdb1da78c4bb4b1c1bac2f6ac5911 xmlns="cdc7663a-08f0-4737-9e8c-148ce897a09c">
      <Terms xmlns="http://schemas.microsoft.com/office/infopath/2007/PartnerControls"/>
    </b26cdb1da78c4bb4b1c1bac2f6ac5911>
    <ic46d7e087fd4a108fb86518ca413cc6 xmlns="cdc7663a-08f0-4737-9e8c-148ce897a09c">
      <Terms xmlns="http://schemas.microsoft.com/office/infopath/2007/PartnerControls">
        <TermInfo xmlns="http://schemas.microsoft.com/office/infopath/2007/PartnerControls">
          <TermName xmlns="http://schemas.microsoft.com/office/infopath/2007/PartnerControls">Argentina</TermName>
          <TermId xmlns="http://schemas.microsoft.com/office/infopath/2007/PartnerControls">eb1b705c-195f-4c3b-9661-b201f2fee3c5</TermId>
        </TermInfo>
      </Terms>
    </ic46d7e087fd4a108fb86518ca413cc6>
    <IDBDocs_x0020_Number xmlns="cdc7663a-08f0-4737-9e8c-148ce897a09c" xsi:nil="true"/>
    <Division_x0020_or_x0020_Unit xmlns="cdc7663a-08f0-4737-9e8c-148ce897a09c">CSC/CAR</Division_x0020_or_x0020_Unit>
    <Fiscal_x0020_Year_x0020_IDB xmlns="cdc7663a-08f0-4737-9e8c-148ce897a09c">2023</Fiscal_x0020_Year_x0020_IDB>
    <e46fe2894295491da65140ffd2369f49 xmlns="cdc7663a-08f0-4737-9e8c-148ce897a09c">
      <Terms xmlns="http://schemas.microsoft.com/office/infopath/2007/PartnerControls">
        <TermInfo xmlns="http://schemas.microsoft.com/office/infopath/2007/PartnerControls">
          <TermName xmlns="http://schemas.microsoft.com/office/infopath/2007/PartnerControls">Goods and Services</TermName>
          <TermId xmlns="http://schemas.microsoft.com/office/infopath/2007/PartnerControls">5bfebf1b-9f1f-4411-b1dd-4c19b807b799</TermId>
        </TermInfo>
      </Terms>
    </e46fe2894295491da65140ffd2369f49>
    <Other_x0020_Author xmlns="cdc7663a-08f0-4737-9e8c-148ce897a09c" xsi:nil="true"/>
    <Migration_x0020_Info xmlns="cdc7663a-08f0-4737-9e8c-148ce897a09c" xsi:nil="true"/>
    <Approval_x0020_Number xmlns="cdc7663a-08f0-4737-9e8c-148ce897a09c">ATN/OC-19521-AR</Approval_x0020_Number>
    <Phase xmlns="cdc7663a-08f0-4737-9e8c-148ce897a09c">PHASE_IMPLEMENTATION</Phase>
    <Document_x0020_Author xmlns="cdc7663a-08f0-4737-9e8c-148ce897a09c">Natalia Magrino</Document_x0020_Author>
    <b2ec7cfb18674cb8803df6b262e8b107 xmlns="cdc7663a-08f0-4737-9e8c-148ce897a09c">
      <Terms xmlns="http://schemas.microsoft.com/office/infopath/2007/PartnerControls">
        <TermInfo xmlns="http://schemas.microsoft.com/office/infopath/2007/PartnerControls">
          <TermName xmlns="http://schemas.microsoft.com/office/infopath/2007/PartnerControls">AGRICULTURAL POLICY</TermName>
          <TermId xmlns="http://schemas.microsoft.com/office/infopath/2007/PartnerControls">402cdb5d-2ab8-46e7-8dfe-84a8c7b7c12d</TermId>
        </TermInfo>
      </Terms>
    </b2ec7cfb18674cb8803df6b262e8b107>
    <Business_x0020_Area xmlns="cdc7663a-08f0-4737-9e8c-148ce897a09c">BEO Procurement</Business_x0020_Area>
    <Key_x0020_Document xmlns="cdc7663a-08f0-4737-9e8c-148ce897a09c">false</Key_x0020_Document>
    <Document_x0020_Language_x0020_IDB xmlns="cdc7663a-08f0-4737-9e8c-148ce897a09c">Spanish</Document_x0020_Language_x0020_IDB>
    <Project_x0020_Document_x0020_Type xmlns="cdc7663a-08f0-4737-9e8c-148ce897a09c" xsi:nil="true"/>
    <g511464f9e53401d84b16fa9b379a574 xmlns="cdc7663a-08f0-4737-9e8c-148ce897a09c">
      <Terms xmlns="http://schemas.microsoft.com/office/infopath/2007/PartnerControls">
        <TermInfo xmlns="http://schemas.microsoft.com/office/infopath/2007/PartnerControls">
          <TermName xmlns="http://schemas.microsoft.com/office/infopath/2007/PartnerControls">TBD</TermName>
          <TermId xmlns="http://schemas.microsoft.com/office/infopath/2007/PartnerControls">d62f6e05-3e80-4abd-9bb4-5f10b4906ff6</TermId>
        </TermInfo>
      </Terms>
    </g511464f9e53401d84b16fa9b379a574>
    <Related_x0020_SisCor_x0020_Number xmlns="cdc7663a-08f0-4737-9e8c-148ce897a09c" xsi:nil="true"/>
    <TaxCatchAll xmlns="cdc7663a-08f0-4737-9e8c-148ce897a09c">
      <Value>69</Value>
      <Value>11</Value>
      <Value>380</Value>
      <Value>57</Value>
      <Value>28</Value>
    </TaxCatchAll>
    <Operation_x0020_Type xmlns="cdc7663a-08f0-4737-9e8c-148ce897a09c">Technical Cooperation</Operation_x0020_Type>
    <Package_x0020_Code xmlns="cdc7663a-08f0-4737-9e8c-148ce897a09c" xsi:nil="true"/>
    <Identifier xmlns="cdc7663a-08f0-4737-9e8c-148ce897a09c" xsi:nil="true"/>
    <Project_x0020_Number xmlns="cdc7663a-08f0-4737-9e8c-148ce897a09c">AR-T1275</Project_x0020_Number>
    <nddeef1749674d76abdbe4b239a70bc6 xmlns="cdc7663a-08f0-4737-9e8c-148ce897a09c">
      <Terms xmlns="http://schemas.microsoft.com/office/infopath/2007/PartnerControls">
        <TermInfo xmlns="http://schemas.microsoft.com/office/infopath/2007/PartnerControls">
          <TermName xmlns="http://schemas.microsoft.com/office/infopath/2007/PartnerControls">AGRICULTURE AND RURAL DEVELOPMENT</TermName>
          <TermId xmlns="http://schemas.microsoft.com/office/infopath/2007/PartnerControls">d219a801-c2c3-4618-9f55-1bc987044feb</TermId>
        </TermInfo>
      </Terms>
    </nddeef1749674d76abdbe4b239a70bc6>
    <Record_x0020_Number xmlns="cdc7663a-08f0-4737-9e8c-148ce897a09c" xsi:nil="true"/>
    <Extracted_x0020_Keywords xmlns="cdc7663a-08f0-4737-9e8c-148ce897a09c" xsi:nil="true"/>
    <_dlc_DocId xmlns="cdc7663a-08f0-4737-9e8c-148ce897a09c">EZIDB0000033-2006688355-12</_dlc_DocId>
    <_dlc_DocIdUrl xmlns="cdc7663a-08f0-4737-9e8c-148ce897a09c">
      <Url>https://idbg.sharepoint.com/teams/EZ-AR-TCP/AR-T1275/_layouts/15/DocIdRedir.aspx?ID=EZIDB0000033-2006688355-12</Url>
      <Description>EZIDB0000033-2006688355-12</Description>
    </_dlc_DocIdUrl>
    <Disclosure_x0020_Activity xmlns="cdc7663a-08f0-4737-9e8c-148ce897a09c">BEO Procurement</Disclosure_x0020_Activity>
    <Issue_x0020_Date xmlns="cdc7663a-08f0-4737-9e8c-148ce897a09c" xsi:nil="true"/>
    <KP_x0020_Topics xmlns="cdc7663a-08f0-4737-9e8c-148ce897a09c" xsi:nil="true"/>
    <Disclosed xmlns="cdc7663a-08f0-4737-9e8c-148ce897a09c">false</Disclosed>
    <Publication_x0020_Type xmlns="cdc7663a-08f0-4737-9e8c-148ce897a09c" xsi:nil="true"/>
    <Editor1 xmlns="cdc7663a-08f0-4737-9e8c-148ce897a09c" xsi:nil="true"/>
    <Region xmlns="cdc7663a-08f0-4737-9e8c-148ce897a09c" xsi:nil="true"/>
    <Webtopic xmlns="cdc7663a-08f0-4737-9e8c-148ce897a09c" xsi:nil="true"/>
    <Abstract xmlns="cdc7663a-08f0-4737-9e8c-148ce897a09c" xsi:nil="true"/>
    <Publishing_x0020_House xmlns="cdc7663a-08f0-4737-9e8c-148ce897a09c" xsi:nil="true"/>
  </documentManagement>
</p:properties>
</file>

<file path=customXml/itemProps1.xml><?xml version="1.0" encoding="utf-8"?>
<ds:datastoreItem xmlns:ds="http://schemas.openxmlformats.org/officeDocument/2006/customXml" ds:itemID="{65A42412-487C-4221-B629-4707B2E8477E}"/>
</file>

<file path=customXml/itemProps2.xml><?xml version="1.0" encoding="utf-8"?>
<ds:datastoreItem xmlns:ds="http://schemas.openxmlformats.org/officeDocument/2006/customXml" ds:itemID="{FFBA4EE7-0BC1-4B1A-83B4-655A88559F84}"/>
</file>

<file path=customXml/itemProps3.xml><?xml version="1.0" encoding="utf-8"?>
<ds:datastoreItem xmlns:ds="http://schemas.openxmlformats.org/officeDocument/2006/customXml" ds:itemID="{563E6C93-988A-4B70-8867-A47BEE4D147E}"/>
</file>

<file path=customXml/itemProps4.xml><?xml version="1.0" encoding="utf-8"?>
<ds:datastoreItem xmlns:ds="http://schemas.openxmlformats.org/officeDocument/2006/customXml" ds:itemID="{739D7EBC-81E1-4C14-9AF6-534F2E33FAED}"/>
</file>

<file path=customXml/itemProps5.xml><?xml version="1.0" encoding="utf-8"?>
<ds:datastoreItem xmlns:ds="http://schemas.openxmlformats.org/officeDocument/2006/customXml" ds:itemID="{5FD58C62-CC39-4BD2-8274-878A0DE185FD}"/>
</file>

<file path=customXml/itemProps6.xml><?xml version="1.0" encoding="utf-8"?>
<ds:datastoreItem xmlns:ds="http://schemas.openxmlformats.org/officeDocument/2006/customXml" ds:itemID="{7DE9A568-E716-4674-A5BD-58CC4A3396E0}"/>
</file>

<file path=docProps/app.xml><?xml version="1.0" encoding="utf-8"?>
<Properties xmlns="http://schemas.openxmlformats.org/officeDocument/2006/extended-properties" xmlns:vt="http://schemas.openxmlformats.org/officeDocument/2006/docPropsVTypes">
  <Template>Normal</Template>
  <TotalTime>3</TotalTime>
  <Pages>7</Pages>
  <Words>2721</Words>
  <Characters>15614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Inter-American Development Bank</Company>
  <LinksUpToDate>false</LinksUpToDate>
  <CharactersWithSpaces>18299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Test</dc:creator>
  <cp:keywords/>
  <cp:lastModifiedBy>Natalia Magrino</cp:lastModifiedBy>
  <cp:revision>2</cp:revision>
  <cp:lastPrinted>2015-01-20T22:56:00Z</cp:lastPrinted>
  <dcterms:created xsi:type="dcterms:W3CDTF">2023-11-13T15:39:00Z</dcterms:created>
  <dcterms:modified xsi:type="dcterms:W3CDTF">2023-11-13T15:39:00Z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0x0101001A458A224826124E8B45B1D613300CFC00CABBE6DC3583A6409EBD22AE7F55B323</vt:lpwstr>
  </property>
  <property fmtid="{D5CDD505-2E9C-101B-9397-08002B2CF9AE}" pid="3" name="TaxKeyword">
    <vt:lpwstr/>
  </property>
  <property fmtid="{D5CDD505-2E9C-101B-9397-08002B2CF9AE}" pid="4" name="Sub_x002d_Sector">
    <vt:lpwstr/>
  </property>
  <property fmtid="{D5CDD505-2E9C-101B-9397-08002B2CF9AE}" pid="5" name="TaxKeywordTaxHTField">
    <vt:lpwstr/>
  </property>
  <property fmtid="{D5CDD505-2E9C-101B-9397-08002B2CF9AE}" pid="6" name="Country">
    <vt:lpwstr>28;#Argentina|eb1b705c-195f-4c3b-9661-b201f2fee3c5</vt:lpwstr>
  </property>
  <property fmtid="{D5CDD505-2E9C-101B-9397-08002B2CF9AE}" pid="7" name="Fund_x0020_IDB">
    <vt:lpwstr/>
  </property>
  <property fmtid="{D5CDD505-2E9C-101B-9397-08002B2CF9AE}" pid="8" name="Series_x0020_Operations_x0020_IDB">
    <vt:lpwstr/>
  </property>
  <property fmtid="{D5CDD505-2E9C-101B-9397-08002B2CF9AE}" pid="9" name="Function Operations IDB">
    <vt:lpwstr>11;#Goods and Services|5bfebf1b-9f1f-4411-b1dd-4c19b807b799</vt:lpwstr>
  </property>
  <property fmtid="{D5CDD505-2E9C-101B-9397-08002B2CF9AE}" pid="10" name="Sector_x0020_IDB">
    <vt:lpwstr/>
  </property>
  <property fmtid="{D5CDD505-2E9C-101B-9397-08002B2CF9AE}" pid="11" name="Fund IDB">
    <vt:lpwstr>69;#TBD|d62f6e05-3e80-4abd-9bb4-5f10b4906ff6</vt:lpwstr>
  </property>
  <property fmtid="{D5CDD505-2E9C-101B-9397-08002B2CF9AE}" pid="12" name="Sector IDB">
    <vt:lpwstr>57;#AGRICULTURE AND RURAL DEVELOPMENT|d219a801-c2c3-4618-9f55-1bc987044feb</vt:lpwstr>
  </property>
  <property fmtid="{D5CDD505-2E9C-101B-9397-08002B2CF9AE}" pid="13" name="Sub-Sector">
    <vt:lpwstr>380;#AGRICULTURAL POLICY|402cdb5d-2ab8-46e7-8dfe-84a8c7b7c12d</vt:lpwstr>
  </property>
  <property fmtid="{D5CDD505-2E9C-101B-9397-08002B2CF9AE}" pid="15" name="_dlc_DocIdItemGuid">
    <vt:lpwstr>2f33f243-36d3-438b-80d9-4abfa392d570</vt:lpwstr>
  </property>
  <property fmtid="{D5CDD505-2E9C-101B-9397-08002B2CF9AE}" pid="19" name="ATI Undisclose Document Workflow">
    <vt:lpwstr>, </vt:lpwstr>
  </property>
  <property fmtid="{D5CDD505-2E9C-101B-9397-08002B2CF9AE}" pid="20" name="ATI Disclose Document Workflow v6">
    <vt:lpwstr>, </vt:lpwstr>
  </property>
  <property fmtid="{D5CDD505-2E9C-101B-9397-08002B2CF9AE}" pid="24" name="Series Operations IDB">
    <vt:lpwstr/>
  </property>
</Properties>
</file>